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0B8" w:rsidRDefault="00B450B8" w:rsidP="00B450B8">
      <w:pPr>
        <w:shd w:val="clear" w:color="auto" w:fill="FFFFFF"/>
        <w:spacing w:before="100" w:beforeAutospacing="1" w:after="100" w:afterAutospacing="1" w:line="420" w:lineRule="atLeast"/>
        <w:jc w:val="both"/>
        <w:rPr>
          <w:rFonts w:cstheme="minorHAnsi"/>
          <w:color w:val="1F497D" w:themeColor="text2"/>
          <w:spacing w:val="20"/>
          <w:sz w:val="24"/>
          <w:szCs w:val="24"/>
        </w:rPr>
      </w:pPr>
      <w:r>
        <w:rPr>
          <w:rFonts w:cstheme="minorHAnsi"/>
          <w:color w:val="1F497D" w:themeColor="text2"/>
          <w:spacing w:val="20"/>
          <w:sz w:val="24"/>
          <w:szCs w:val="24"/>
        </w:rPr>
        <w:t>W jaki sposób rozumieć zapisy punktu o</w:t>
      </w:r>
      <w:r>
        <w:rPr>
          <w:rFonts w:cstheme="minorHAnsi"/>
          <w:color w:val="1F497D" w:themeColor="text2"/>
          <w:spacing w:val="20"/>
          <w:sz w:val="24"/>
          <w:szCs w:val="24"/>
        </w:rPr>
        <w:t>głoszenia konkursowego dotyczącego</w:t>
      </w:r>
      <w:r>
        <w:rPr>
          <w:rFonts w:cstheme="minorHAnsi"/>
          <w:color w:val="1F497D" w:themeColor="text2"/>
          <w:spacing w:val="20"/>
          <w:sz w:val="24"/>
          <w:szCs w:val="24"/>
        </w:rPr>
        <w:t xml:space="preserve"> </w:t>
      </w:r>
      <w:r>
        <w:rPr>
          <w:rFonts w:eastAsia="Times New Roman" w:cstheme="minorHAnsi"/>
          <w:color w:val="1F497D" w:themeColor="text2"/>
          <w:spacing w:val="20"/>
          <w:sz w:val="24"/>
          <w:szCs w:val="24"/>
          <w:lang w:eastAsia="pl-PL"/>
        </w:rPr>
        <w:t>listy podmiotów leczniczych, d</w:t>
      </w:r>
      <w:r>
        <w:rPr>
          <w:rFonts w:eastAsia="Times New Roman" w:cstheme="minorHAnsi"/>
          <w:color w:val="1F497D" w:themeColor="text2"/>
          <w:spacing w:val="20"/>
          <w:sz w:val="24"/>
          <w:szCs w:val="24"/>
          <w:lang w:eastAsia="pl-PL"/>
        </w:rPr>
        <w:t>ostosowanych do potrzeb osób ze </w:t>
      </w:r>
      <w:r>
        <w:rPr>
          <w:rFonts w:eastAsia="Times New Roman" w:cstheme="minorHAnsi"/>
          <w:color w:val="1F497D" w:themeColor="text2"/>
          <w:spacing w:val="20"/>
          <w:sz w:val="24"/>
          <w:szCs w:val="24"/>
          <w:lang w:eastAsia="pl-PL"/>
        </w:rPr>
        <w:t>szczególnymi potrzebami w rozumieniu ustawy </w:t>
      </w:r>
      <w:r>
        <w:rPr>
          <w:rFonts w:eastAsia="Times New Roman" w:cstheme="minorHAnsi"/>
          <w:i/>
          <w:iCs/>
          <w:color w:val="1F497D" w:themeColor="text2"/>
          <w:spacing w:val="20"/>
          <w:sz w:val="24"/>
          <w:szCs w:val="24"/>
          <w:lang w:eastAsia="pl-PL"/>
        </w:rPr>
        <w:t>z dnia 19 lipca 2019 r. o </w:t>
      </w:r>
      <w:r>
        <w:rPr>
          <w:rFonts w:eastAsia="Times New Roman" w:cstheme="minorHAnsi"/>
          <w:i/>
          <w:iCs/>
          <w:color w:val="1F497D" w:themeColor="text2"/>
          <w:spacing w:val="20"/>
          <w:sz w:val="24"/>
          <w:szCs w:val="24"/>
          <w:lang w:eastAsia="pl-PL"/>
        </w:rPr>
        <w:t>zapewnianiu dostępności osobom z</w:t>
      </w:r>
      <w:r>
        <w:rPr>
          <w:rFonts w:eastAsia="Times New Roman" w:cstheme="minorHAnsi"/>
          <w:i/>
          <w:iCs/>
          <w:color w:val="1F497D" w:themeColor="text2"/>
          <w:spacing w:val="20"/>
          <w:sz w:val="24"/>
          <w:szCs w:val="24"/>
          <w:lang w:eastAsia="pl-PL"/>
        </w:rPr>
        <w:t>e szczególnymi potrzebami (</w:t>
      </w:r>
      <w:proofErr w:type="spellStart"/>
      <w:r>
        <w:rPr>
          <w:rFonts w:eastAsia="Times New Roman" w:cstheme="minorHAnsi"/>
          <w:i/>
          <w:iCs/>
          <w:color w:val="1F497D" w:themeColor="text2"/>
          <w:spacing w:val="20"/>
          <w:sz w:val="24"/>
          <w:szCs w:val="24"/>
          <w:lang w:eastAsia="pl-PL"/>
        </w:rPr>
        <w:t>t.j</w:t>
      </w:r>
      <w:proofErr w:type="spellEnd"/>
      <w:r>
        <w:rPr>
          <w:rFonts w:eastAsia="Times New Roman" w:cstheme="minorHAnsi"/>
          <w:i/>
          <w:iCs/>
          <w:color w:val="1F497D" w:themeColor="text2"/>
          <w:spacing w:val="20"/>
          <w:sz w:val="24"/>
          <w:szCs w:val="24"/>
          <w:lang w:eastAsia="pl-PL"/>
        </w:rPr>
        <w:t>. </w:t>
      </w:r>
      <w:r>
        <w:rPr>
          <w:rFonts w:eastAsia="Times New Roman" w:cstheme="minorHAnsi"/>
          <w:i/>
          <w:iCs/>
          <w:color w:val="1F497D" w:themeColor="text2"/>
          <w:spacing w:val="20"/>
          <w:sz w:val="24"/>
          <w:szCs w:val="24"/>
          <w:lang w:eastAsia="pl-PL"/>
        </w:rPr>
        <w:t>Dz.U.2020 poz. 1062),</w:t>
      </w:r>
      <w:r>
        <w:rPr>
          <w:rFonts w:eastAsia="Times New Roman" w:cstheme="minorHAnsi"/>
          <w:color w:val="1F497D" w:themeColor="text2"/>
          <w:spacing w:val="20"/>
          <w:sz w:val="24"/>
          <w:szCs w:val="24"/>
          <w:lang w:eastAsia="pl-PL"/>
        </w:rPr>
        <w:t> spełniających wymagania i warunki do przeprowadzania świadczeń opieki zdrowotnej, zgodnie z założeniami programu oraz dni i godziny zapewniające jak najlepszą dostępność do tego rodzaju interwencji medycznych?</w:t>
      </w:r>
    </w:p>
    <w:p w:rsidR="00B450B8" w:rsidRDefault="00B450B8" w:rsidP="00B450B8">
      <w:pPr>
        <w:jc w:val="both"/>
        <w:rPr>
          <w:rFonts w:cstheme="minorHAnsi"/>
          <w:color w:val="1F497D" w:themeColor="text2"/>
          <w:spacing w:val="20"/>
          <w:sz w:val="24"/>
          <w:szCs w:val="24"/>
        </w:rPr>
      </w:pPr>
      <w:r>
        <w:rPr>
          <w:rFonts w:cstheme="minorHAnsi"/>
          <w:color w:val="1F497D" w:themeColor="text2"/>
          <w:spacing w:val="20"/>
          <w:sz w:val="24"/>
          <w:szCs w:val="24"/>
        </w:rPr>
        <w:t>Przytoczony fragment konkursu dot. wyboru realizatora programu polityki zdrowotnej odnosi się do ustawy o zapewnianiu dostępności osobom ze szczególnymi potrzebami (</w:t>
      </w:r>
      <w:proofErr w:type="spellStart"/>
      <w:r>
        <w:rPr>
          <w:rFonts w:cstheme="minorHAnsi"/>
          <w:color w:val="1F497D" w:themeColor="text2"/>
          <w:spacing w:val="20"/>
          <w:sz w:val="24"/>
          <w:szCs w:val="24"/>
        </w:rPr>
        <w:t>t.j</w:t>
      </w:r>
      <w:proofErr w:type="spellEnd"/>
      <w:r>
        <w:rPr>
          <w:rFonts w:cstheme="minorHAnsi"/>
          <w:color w:val="1F497D" w:themeColor="text2"/>
          <w:spacing w:val="20"/>
          <w:sz w:val="24"/>
          <w:szCs w:val="24"/>
        </w:rPr>
        <w:t xml:space="preserve">. Dz.U.2020 poz. 1062), która obliguje podmioty publiczne do przestrzegania jej zapisów również w sytuacji zlecania wykonania zadania innym podmiotom.  </w:t>
      </w:r>
    </w:p>
    <w:p w:rsidR="00B450B8" w:rsidRDefault="00B450B8" w:rsidP="00B450B8">
      <w:pPr>
        <w:jc w:val="both"/>
        <w:rPr>
          <w:rFonts w:cstheme="minorHAnsi"/>
          <w:color w:val="1F497D" w:themeColor="text2"/>
          <w:spacing w:val="20"/>
          <w:sz w:val="24"/>
          <w:szCs w:val="24"/>
        </w:rPr>
      </w:pPr>
      <w:r>
        <w:rPr>
          <w:rFonts w:cstheme="minorHAnsi"/>
          <w:color w:val="1F497D" w:themeColor="text2"/>
          <w:spacing w:val="20"/>
          <w:sz w:val="24"/>
          <w:szCs w:val="24"/>
        </w:rPr>
        <w:t>W związku z powyższym wszystkie usługi medyczne oferowane w ramach Programu muszą zapewniać dostępność osobom ze szczególnymi potrzebami (w tym osobom z niepełnosprawnościami). Podmioty medyczne zaangażowane w realizację zadania, w których świadczone będą usługi opieki zdrowotnej muszą być przystosowane architektonicznie do obsługi osób ze szczególnymi potrzebami. Konieczne jest również zapewnienie obsługi gwarantującej wszystkim uczestnik</w:t>
      </w:r>
      <w:r>
        <w:rPr>
          <w:rFonts w:cstheme="minorHAnsi"/>
          <w:color w:val="1F497D" w:themeColor="text2"/>
          <w:spacing w:val="20"/>
          <w:sz w:val="24"/>
          <w:szCs w:val="24"/>
        </w:rPr>
        <w:t>om Programu równe traktowanie i </w:t>
      </w:r>
      <w:r>
        <w:rPr>
          <w:rFonts w:cstheme="minorHAnsi"/>
          <w:color w:val="1F497D" w:themeColor="text2"/>
          <w:spacing w:val="20"/>
          <w:sz w:val="24"/>
          <w:szCs w:val="24"/>
        </w:rPr>
        <w:t xml:space="preserve">uwzględnianie ich szczególnych potrzeb </w:t>
      </w:r>
      <w:r>
        <w:rPr>
          <w:rFonts w:cstheme="minorHAnsi"/>
          <w:color w:val="1F497D" w:themeColor="text2"/>
          <w:spacing w:val="20"/>
          <w:sz w:val="24"/>
          <w:szCs w:val="24"/>
        </w:rPr>
        <w:t>oraz dostępności do świadczeń w </w:t>
      </w:r>
      <w:r>
        <w:rPr>
          <w:rFonts w:cstheme="minorHAnsi"/>
          <w:color w:val="1F497D" w:themeColor="text2"/>
          <w:spacing w:val="20"/>
          <w:sz w:val="24"/>
          <w:szCs w:val="24"/>
        </w:rPr>
        <w:t>dogodnym czasie (dni i godziny otwarcia placówki).  </w:t>
      </w:r>
    </w:p>
    <w:p w:rsidR="00B450B8" w:rsidRDefault="00B450B8" w:rsidP="00B450B8">
      <w:pPr>
        <w:jc w:val="both"/>
        <w:rPr>
          <w:rFonts w:cstheme="minorHAnsi"/>
          <w:color w:val="1F497D" w:themeColor="text2"/>
          <w:spacing w:val="20"/>
          <w:sz w:val="24"/>
          <w:szCs w:val="24"/>
        </w:rPr>
      </w:pPr>
    </w:p>
    <w:p w:rsidR="00B450B8" w:rsidRDefault="00B450B8" w:rsidP="00B450B8">
      <w:pPr>
        <w:jc w:val="both"/>
        <w:rPr>
          <w:rFonts w:cstheme="minorHAnsi"/>
          <w:color w:val="1F497D" w:themeColor="text2"/>
          <w:spacing w:val="20"/>
          <w:sz w:val="24"/>
          <w:szCs w:val="24"/>
        </w:rPr>
      </w:pPr>
      <w:r>
        <w:rPr>
          <w:rFonts w:cstheme="minorHAnsi"/>
          <w:color w:val="1F497D" w:themeColor="text2"/>
          <w:spacing w:val="20"/>
          <w:sz w:val="24"/>
          <w:szCs w:val="24"/>
        </w:rPr>
        <w:t xml:space="preserve">Do </w:t>
      </w:r>
      <w:r>
        <w:rPr>
          <w:rFonts w:cstheme="minorHAnsi"/>
          <w:color w:val="1F497D" w:themeColor="text2"/>
          <w:spacing w:val="20"/>
          <w:sz w:val="24"/>
          <w:szCs w:val="24"/>
        </w:rPr>
        <w:t xml:space="preserve">dokumentacji i oferty </w:t>
      </w:r>
      <w:r>
        <w:rPr>
          <w:rFonts w:cstheme="minorHAnsi"/>
          <w:color w:val="1F497D" w:themeColor="text2"/>
          <w:spacing w:val="20"/>
          <w:sz w:val="24"/>
          <w:szCs w:val="24"/>
        </w:rPr>
        <w:t>należy dołączyć listę lokalizacji danego podmiotu wyk</w:t>
      </w:r>
      <w:r w:rsidR="00BB3C85">
        <w:rPr>
          <w:rFonts w:cstheme="minorHAnsi"/>
          <w:color w:val="1F497D" w:themeColor="text2"/>
          <w:spacing w:val="20"/>
          <w:sz w:val="24"/>
          <w:szCs w:val="24"/>
        </w:rPr>
        <w:t>onującego działalność leczniczą</w:t>
      </w:r>
      <w:bookmarkStart w:id="0" w:name="_GoBack"/>
      <w:bookmarkEnd w:id="0"/>
      <w:r>
        <w:rPr>
          <w:rFonts w:cstheme="minorHAnsi"/>
          <w:color w:val="1F497D" w:themeColor="text2"/>
          <w:spacing w:val="20"/>
          <w:sz w:val="24"/>
          <w:szCs w:val="24"/>
        </w:rPr>
        <w:t xml:space="preserve">, które spełniają powyższe wymagania. </w:t>
      </w:r>
    </w:p>
    <w:p w:rsidR="005E417A" w:rsidRDefault="005E417A"/>
    <w:sectPr w:rsidR="005E41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0B8"/>
    <w:rsid w:val="005E417A"/>
    <w:rsid w:val="009A1A51"/>
    <w:rsid w:val="00B450B8"/>
    <w:rsid w:val="00BB3C85"/>
    <w:rsid w:val="00F1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Theme="minorHAnsi" w:hAnsi="Cambria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50B8"/>
    <w:rPr>
      <w:rFonts w:asciiTheme="minorHAnsi" w:hAnsiTheme="minorHAnsi" w:cstheme="minorBidi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3B0F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cs-CZ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3B0F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cs-CZ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F13B0F"/>
    <w:pPr>
      <w:keepNext/>
      <w:keepLines/>
      <w:suppressAutoHyphens/>
      <w:spacing w:before="200"/>
      <w:outlineLvl w:val="4"/>
    </w:pPr>
    <w:rPr>
      <w:rFonts w:ascii="Cambria" w:eastAsia="Times New Roman" w:hAnsi="Cambria" w:cs="Times New Roman"/>
      <w:color w:val="243F6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F13B0F"/>
    <w:rPr>
      <w:rFonts w:eastAsia="Times New Roman"/>
      <w:b/>
      <w:bCs/>
      <w:kern w:val="32"/>
      <w:sz w:val="32"/>
      <w:szCs w:val="32"/>
      <w:lang w:val="cs-CZ"/>
    </w:rPr>
  </w:style>
  <w:style w:type="character" w:customStyle="1" w:styleId="Nagwek2Znak">
    <w:name w:val="Nagłówek 2 Znak"/>
    <w:link w:val="Nagwek2"/>
    <w:uiPriority w:val="9"/>
    <w:rsid w:val="00F13B0F"/>
    <w:rPr>
      <w:rFonts w:eastAsia="Times New Roman"/>
      <w:b/>
      <w:bCs/>
      <w:i/>
      <w:iCs/>
      <w:sz w:val="28"/>
      <w:szCs w:val="28"/>
      <w:lang w:val="cs-CZ"/>
    </w:rPr>
  </w:style>
  <w:style w:type="character" w:customStyle="1" w:styleId="Nagwek5Znak">
    <w:name w:val="Nagłówek 5 Znak"/>
    <w:link w:val="Nagwek5"/>
    <w:semiHidden/>
    <w:rsid w:val="00F13B0F"/>
    <w:rPr>
      <w:rFonts w:eastAsia="Times New Roman"/>
      <w:color w:val="243F60"/>
    </w:rPr>
  </w:style>
  <w:style w:type="character" w:styleId="Pogrubienie">
    <w:name w:val="Strong"/>
    <w:uiPriority w:val="22"/>
    <w:qFormat/>
    <w:rsid w:val="00F13B0F"/>
    <w:rPr>
      <w:b/>
      <w:bCs/>
    </w:rPr>
  </w:style>
  <w:style w:type="paragraph" w:styleId="Akapitzlist">
    <w:name w:val="List Paragraph"/>
    <w:basedOn w:val="Normalny"/>
    <w:uiPriority w:val="34"/>
    <w:qFormat/>
    <w:rsid w:val="00F13B0F"/>
    <w:pPr>
      <w:ind w:left="720"/>
      <w:contextualSpacing/>
      <w:jc w:val="center"/>
    </w:pPr>
    <w:rPr>
      <w:rFonts w:ascii="Calibri" w:hAnsi="Calibri" w:cs="Times New Roman"/>
      <w:b/>
      <w:sz w:val="24"/>
      <w:szCs w:val="24"/>
      <w:lang w:val="cs-CZ" w:eastAsia="pl-PL"/>
    </w:rPr>
  </w:style>
  <w:style w:type="character" w:styleId="Tytuksiki">
    <w:name w:val="Book Title"/>
    <w:uiPriority w:val="33"/>
    <w:qFormat/>
    <w:rsid w:val="00F13B0F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Theme="minorHAnsi" w:hAnsi="Cambria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50B8"/>
    <w:rPr>
      <w:rFonts w:asciiTheme="minorHAnsi" w:hAnsiTheme="minorHAnsi" w:cstheme="minorBidi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3B0F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cs-CZ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3B0F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cs-CZ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F13B0F"/>
    <w:pPr>
      <w:keepNext/>
      <w:keepLines/>
      <w:suppressAutoHyphens/>
      <w:spacing w:before="200"/>
      <w:outlineLvl w:val="4"/>
    </w:pPr>
    <w:rPr>
      <w:rFonts w:ascii="Cambria" w:eastAsia="Times New Roman" w:hAnsi="Cambria" w:cs="Times New Roman"/>
      <w:color w:val="243F6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F13B0F"/>
    <w:rPr>
      <w:rFonts w:eastAsia="Times New Roman"/>
      <w:b/>
      <w:bCs/>
      <w:kern w:val="32"/>
      <w:sz w:val="32"/>
      <w:szCs w:val="32"/>
      <w:lang w:val="cs-CZ"/>
    </w:rPr>
  </w:style>
  <w:style w:type="character" w:customStyle="1" w:styleId="Nagwek2Znak">
    <w:name w:val="Nagłówek 2 Znak"/>
    <w:link w:val="Nagwek2"/>
    <w:uiPriority w:val="9"/>
    <w:rsid w:val="00F13B0F"/>
    <w:rPr>
      <w:rFonts w:eastAsia="Times New Roman"/>
      <w:b/>
      <w:bCs/>
      <w:i/>
      <w:iCs/>
      <w:sz w:val="28"/>
      <w:szCs w:val="28"/>
      <w:lang w:val="cs-CZ"/>
    </w:rPr>
  </w:style>
  <w:style w:type="character" w:customStyle="1" w:styleId="Nagwek5Znak">
    <w:name w:val="Nagłówek 5 Znak"/>
    <w:link w:val="Nagwek5"/>
    <w:semiHidden/>
    <w:rsid w:val="00F13B0F"/>
    <w:rPr>
      <w:rFonts w:eastAsia="Times New Roman"/>
      <w:color w:val="243F60"/>
    </w:rPr>
  </w:style>
  <w:style w:type="character" w:styleId="Pogrubienie">
    <w:name w:val="Strong"/>
    <w:uiPriority w:val="22"/>
    <w:qFormat/>
    <w:rsid w:val="00F13B0F"/>
    <w:rPr>
      <w:b/>
      <w:bCs/>
    </w:rPr>
  </w:style>
  <w:style w:type="paragraph" w:styleId="Akapitzlist">
    <w:name w:val="List Paragraph"/>
    <w:basedOn w:val="Normalny"/>
    <w:uiPriority w:val="34"/>
    <w:qFormat/>
    <w:rsid w:val="00F13B0F"/>
    <w:pPr>
      <w:ind w:left="720"/>
      <w:contextualSpacing/>
      <w:jc w:val="center"/>
    </w:pPr>
    <w:rPr>
      <w:rFonts w:ascii="Calibri" w:hAnsi="Calibri" w:cs="Times New Roman"/>
      <w:b/>
      <w:sz w:val="24"/>
      <w:szCs w:val="24"/>
      <w:lang w:val="cs-CZ" w:eastAsia="pl-PL"/>
    </w:rPr>
  </w:style>
  <w:style w:type="character" w:styleId="Tytuksiki">
    <w:name w:val="Book Title"/>
    <w:uiPriority w:val="33"/>
    <w:qFormat/>
    <w:rsid w:val="00F13B0F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778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Wolny</dc:creator>
  <cp:lastModifiedBy>Sylwia Wolny</cp:lastModifiedBy>
  <cp:revision>2</cp:revision>
  <dcterms:created xsi:type="dcterms:W3CDTF">2022-05-06T13:20:00Z</dcterms:created>
  <dcterms:modified xsi:type="dcterms:W3CDTF">2022-05-06T13:52:00Z</dcterms:modified>
</cp:coreProperties>
</file>