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095" w:leader="none"/>
        </w:tabs>
        <w:spacing w:lineRule="atLeast" w:line="0"/>
        <w:jc w:val="center"/>
        <w:rPr>
          <w:b/>
          <w:b/>
          <w:bCs/>
        </w:rPr>
      </w:pPr>
      <w:r>
        <w:rPr>
          <w:b/>
          <w:bCs/>
          <w:sz w:val="32"/>
          <w:szCs w:val="32"/>
        </w:rPr>
        <w:t>OBWIESZCZENIE STAROSTY PIASECZYŃSKIEGO</w:t>
      </w:r>
    </w:p>
    <w:p>
      <w:pPr>
        <w:pStyle w:val="Normal"/>
        <w:tabs>
          <w:tab w:val="clear" w:pos="708"/>
          <w:tab w:val="left" w:pos="4095" w:leader="none"/>
        </w:tabs>
        <w:spacing w:lineRule="atLeast" w:line="0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lineRule="atLeast" w:line="0"/>
        <w:ind w:firstLine="709"/>
        <w:jc w:val="both"/>
        <w:rPr/>
      </w:pPr>
      <w:r>
        <w:rPr>
          <w:b/>
        </w:rPr>
        <w:t xml:space="preserve">Zgodnie z art. 49a </w:t>
      </w:r>
      <w:r>
        <w:rPr/>
        <w:t xml:space="preserve">ustawy z dnia 14 czerwca 1960 r. Kodeks postępowania administracyjnego (tj. </w:t>
      </w:r>
      <w:r>
        <w:rPr>
          <w:color w:val="33332F"/>
          <w:lang w:eastAsia="pl-PL"/>
        </w:rPr>
        <w:t xml:space="preserve">Dz. </w:t>
      </w:r>
      <w:r>
        <w:rPr>
          <w:color w:val="000000"/>
          <w:lang w:eastAsia="pl-PL"/>
        </w:rPr>
        <w:t>U. z 2024 r., poz. 572 ), czytaj dalej k.p.a.,</w:t>
      </w:r>
      <w:r>
        <w:rPr/>
        <w:t xml:space="preserve"> zawiadamia się o wydaniu w dniu 16 stycznia 2025 r. postanowienia Starosty Piaseczyńskiego, na postawie art. 123 i 108 §1 i 2 k.p.a. oraz na podstawie art. 17 ust 1. ustawy z dnia 10 kwietnia 2003 r. o szczególnych zasadach przygotowania i realizacji inwestycji w zakresie dróg publicznych (t.j. Dz. U. z 2024 r., poz. 311), czytaj dalej ustawy ZRID, dotyczącego nadania rygoru natychmiastowej wykonalności decyzji Starosty Piaseczyńskiego nr 31/2024 z dnia 20 grudnia 2024 r. nr rej. ARB. 6740.1.15.2024.DM </w:t>
      </w:r>
    </w:p>
    <w:p>
      <w:pPr>
        <w:pStyle w:val="Normal"/>
        <w:spacing w:lineRule="atLeast" w:line="0"/>
        <w:ind w:firstLine="709"/>
        <w:jc w:val="both"/>
        <w:rPr/>
      </w:pPr>
      <w:r>
        <w:rPr/>
      </w:r>
    </w:p>
    <w:p>
      <w:pPr>
        <w:pStyle w:val="Standard"/>
        <w:spacing w:lineRule="atLeast" w:line="0"/>
        <w:ind w:left="1400" w:hanging="1400"/>
        <w:rPr/>
      </w:pPr>
      <w:r>
        <w:rPr>
          <w:b/>
        </w:rPr>
        <w:t xml:space="preserve">inwestor: </w:t>
      </w:r>
      <w:r>
        <w:rPr/>
        <w:t xml:space="preserve">Burmistrz Miasta i Gminy Góra Kalwaria </w:t>
      </w:r>
    </w:p>
    <w:p>
      <w:pPr>
        <w:pStyle w:val="Standard"/>
        <w:spacing w:lineRule="atLeast" w:line="0"/>
        <w:ind w:left="1400" w:hanging="1400"/>
        <w:rPr/>
      </w:pPr>
      <w:r>
        <w:rPr/>
        <w:t xml:space="preserve">                 </w:t>
      </w:r>
      <w:r>
        <w:rPr/>
        <w:t xml:space="preserve">ul. 3-go Maja 10, 05-530 Góra Kalwaria </w:t>
      </w:r>
    </w:p>
    <w:p>
      <w:pPr>
        <w:pStyle w:val="Normal"/>
        <w:spacing w:lineRule="atLeast" w:line="0"/>
        <w:jc w:val="both"/>
        <w:rPr>
          <w:b/>
          <w:b/>
        </w:rPr>
      </w:pPr>
      <w:r>
        <w:rPr>
          <w:b/>
        </w:rPr>
      </w:r>
    </w:p>
    <w:p>
      <w:pPr>
        <w:pStyle w:val="Normal"/>
        <w:spacing w:lineRule="atLeast" w:line="0"/>
        <w:ind w:left="1134" w:hanging="1134"/>
        <w:jc w:val="both"/>
        <w:textAlignment w:val="baseline"/>
        <w:rPr/>
      </w:pPr>
      <w:r>
        <w:rPr>
          <w:b/>
          <w:bCs/>
        </w:rPr>
        <w:t>inwestycja:</w:t>
      </w:r>
      <w:r>
        <w:rPr/>
        <w:t xml:space="preserve"> </w:t>
      </w:r>
      <w:r>
        <w:rPr>
          <w:bCs/>
        </w:rPr>
        <w:t xml:space="preserve">budowa drogi gminnej ul. Długiej między skrzyżowaniem z ul. Wilanowską i ul. Zacisze w Moczydłowie </w:t>
      </w:r>
    </w:p>
    <w:p>
      <w:pPr>
        <w:pStyle w:val="Normal"/>
        <w:spacing w:lineRule="atLeast" w:line="0"/>
        <w:ind w:left="1260" w:hanging="1260"/>
        <w:jc w:val="both"/>
        <w:rPr/>
      </w:pPr>
      <w:r>
        <w:rPr/>
        <w:t xml:space="preserve">          </w:t>
      </w:r>
      <w:r>
        <w:rPr/>
        <w:tab/>
      </w:r>
    </w:p>
    <w:p>
      <w:pPr>
        <w:pStyle w:val="Normal"/>
        <w:ind w:left="-284" w:hanging="0"/>
        <w:jc w:val="both"/>
        <w:rPr>
          <w:b/>
          <w:b/>
        </w:rPr>
      </w:pPr>
      <w:r>
        <w:rPr>
          <w:b/>
        </w:rPr>
        <w:t>Działki przeznaczone pod realizację inwestycji drogowej:</w:t>
      </w:r>
    </w:p>
    <w:p>
      <w:pPr>
        <w:pStyle w:val="Normal"/>
        <w:ind w:left="-284" w:hanging="0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  <w:t>- w liniach rozgraniczających projektowanej drogi:</w:t>
      </w:r>
    </w:p>
    <w:p>
      <w:pPr>
        <w:pStyle w:val="Normal"/>
        <w:jc w:val="both"/>
        <w:rPr>
          <w:b/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jc w:val="both"/>
        <w:rPr/>
      </w:pPr>
      <w:r>
        <w:rPr/>
        <w:t xml:space="preserve">drukiem wytłuszczonym – działki pod przejęcie pod projektowany pas drogowy, (w nawiasach podano nr działki po podziale, po średniku działki poza projektowanym pasem drogowym pozostające przy dotychczasowym właścicielu), </w:t>
      </w:r>
    </w:p>
    <w:p>
      <w:pPr>
        <w:pStyle w:val="Normal"/>
        <w:jc w:val="both"/>
        <w:rPr/>
      </w:pPr>
      <w:r>
        <w:rPr/>
      </w:r>
    </w:p>
    <w:p>
      <w:pPr>
        <w:pStyle w:val="Normal"/>
        <w:spacing w:before="51" w:after="57"/>
        <w:jc w:val="both"/>
        <w:rPr/>
      </w:pPr>
      <w:r>
        <w:rPr/>
        <w:t>jedn. ew. 141801_5 Góra Kalwaria, obręb 0029 Moczydłów:</w:t>
      </w:r>
    </w:p>
    <w:p>
      <w:pPr>
        <w:pStyle w:val="Normal"/>
        <w:spacing w:before="51" w:after="57"/>
        <w:jc w:val="both"/>
        <w:rPr/>
      </w:pPr>
      <w:r>
        <w:rPr/>
        <w:t>93/10, 93/9 (</w:t>
      </w:r>
      <w:r>
        <w:rPr>
          <w:b/>
        </w:rPr>
        <w:t>93/11</w:t>
      </w:r>
      <w:r>
        <w:rPr/>
        <w:t>; 93/12),</w:t>
      </w:r>
    </w:p>
    <w:p>
      <w:pPr>
        <w:pStyle w:val="Normal"/>
        <w:spacing w:before="51" w:after="57"/>
        <w:jc w:val="both"/>
        <w:rPr/>
      </w:pPr>
      <w:r>
        <w:rPr/>
        <w:t xml:space="preserve"> </w:t>
      </w:r>
      <w:r>
        <w:rPr/>
        <w:t>jedn. ew. 141801_4 Góra Kalwaria, obręb 1102:</w:t>
      </w:r>
    </w:p>
    <w:p>
      <w:pPr>
        <w:pStyle w:val="Normal"/>
        <w:spacing w:before="51" w:after="57"/>
        <w:jc w:val="both"/>
        <w:rPr/>
      </w:pPr>
      <w:r>
        <w:rPr/>
        <w:t xml:space="preserve"> </w:t>
      </w:r>
      <w:r>
        <w:rPr/>
        <w:t>94 (</w:t>
      </w:r>
      <w:r>
        <w:rPr>
          <w:b/>
        </w:rPr>
        <w:t>94/1</w:t>
      </w:r>
      <w:r>
        <w:rPr/>
        <w:t>; 94/2), 92, 39(</w:t>
      </w:r>
      <w:r>
        <w:rPr>
          <w:b/>
        </w:rPr>
        <w:t xml:space="preserve">39/1; </w:t>
      </w:r>
      <w:r>
        <w:rPr/>
        <w:t>39/2), 38, 37 (</w:t>
      </w:r>
      <w:r>
        <w:rPr>
          <w:b/>
        </w:rPr>
        <w:t>37/1</w:t>
      </w:r>
      <w:r>
        <w:rPr/>
        <w:t xml:space="preserve">; 37/2), </w:t>
      </w:r>
      <w:r>
        <w:rPr>
          <w:b/>
        </w:rPr>
        <w:t>90</w:t>
      </w:r>
      <w:r>
        <w:rPr/>
        <w:t>, 91, 36 (</w:t>
      </w:r>
      <w:r>
        <w:rPr>
          <w:b/>
        </w:rPr>
        <w:t>36/1</w:t>
      </w:r>
      <w:r>
        <w:rPr/>
        <w:t>, 36/2), 79, 76 (</w:t>
      </w:r>
      <w:r>
        <w:rPr>
          <w:b/>
        </w:rPr>
        <w:t>76/1</w:t>
      </w:r>
      <w:r>
        <w:rPr/>
        <w:t>, 76/2), 80 (</w:t>
      </w:r>
      <w:r>
        <w:rPr>
          <w:b/>
        </w:rPr>
        <w:t>80/1</w:t>
      </w:r>
      <w:r>
        <w:rPr/>
        <w:t>, 80/2), 77 (</w:t>
      </w:r>
      <w:r>
        <w:rPr>
          <w:b/>
        </w:rPr>
        <w:t>77/1</w:t>
      </w:r>
      <w:r>
        <w:rPr/>
        <w:t>, 77/2), 75 (</w:t>
      </w:r>
      <w:r>
        <w:rPr>
          <w:b/>
        </w:rPr>
        <w:t>75/1</w:t>
      </w:r>
      <w:r>
        <w:rPr/>
        <w:t>, 75/2), 40, 53(</w:t>
      </w:r>
      <w:r>
        <w:rPr>
          <w:b/>
        </w:rPr>
        <w:t>53/1</w:t>
      </w:r>
      <w:r>
        <w:rPr/>
        <w:t xml:space="preserve">, </w:t>
      </w:r>
      <w:r>
        <w:rPr>
          <w:b/>
        </w:rPr>
        <w:t>53/2</w:t>
      </w:r>
      <w:r>
        <w:rPr/>
        <w:t>, 53/3), 24 (</w:t>
      </w:r>
      <w:r>
        <w:rPr>
          <w:b/>
        </w:rPr>
        <w:t>24/1</w:t>
      </w:r>
      <w:r>
        <w:rPr/>
        <w:t>, 24/2), 108, 34 (</w:t>
      </w:r>
      <w:r>
        <w:rPr>
          <w:b/>
        </w:rPr>
        <w:t>34/1</w:t>
      </w:r>
      <w:r>
        <w:rPr/>
        <w:t>, 34/2), 33(</w:t>
      </w:r>
      <w:r>
        <w:rPr>
          <w:b/>
        </w:rPr>
        <w:t>33/1</w:t>
      </w:r>
      <w:r>
        <w:rPr/>
        <w:t>, 33/2), 32(</w:t>
      </w:r>
      <w:r>
        <w:rPr>
          <w:b/>
        </w:rPr>
        <w:t>32/1</w:t>
      </w:r>
      <w:r>
        <w:rPr/>
        <w:t xml:space="preserve">, 32/2)  </w:t>
      </w:r>
    </w:p>
    <w:p>
      <w:pPr>
        <w:pStyle w:val="Normal"/>
        <w:spacing w:before="51" w:after="57"/>
        <w:jc w:val="both"/>
        <w:rPr/>
      </w:pPr>
      <w:r>
        <w:rPr/>
      </w:r>
    </w:p>
    <w:p>
      <w:pPr>
        <w:pStyle w:val="Normal"/>
        <w:spacing w:before="51" w:after="57"/>
        <w:jc w:val="both"/>
        <w:rPr/>
      </w:pPr>
      <w:r>
        <w:rPr/>
        <w:t>przeznaczone pod przebudowę innych dróg publicznych oraz elementów infrastruktury w ramach czasowego zajęcia: ( w nawiasie numer działki przed podziałem)</w:t>
      </w:r>
    </w:p>
    <w:p>
      <w:pPr>
        <w:pStyle w:val="Normal"/>
        <w:spacing w:before="51" w:after="57"/>
        <w:jc w:val="both"/>
        <w:rPr/>
      </w:pPr>
      <w:r>
        <w:rPr/>
        <w:t>jedn. ew. 141801_5 Góra Kalwaria, obręb 0029 Moczydłów:</w:t>
      </w:r>
    </w:p>
    <w:p>
      <w:pPr>
        <w:pStyle w:val="Normal"/>
        <w:spacing w:before="51" w:after="57"/>
        <w:jc w:val="both"/>
        <w:rPr/>
      </w:pPr>
      <w:r>
        <w:rPr/>
        <w:t xml:space="preserve">94/52, </w:t>
      </w:r>
    </w:p>
    <w:p>
      <w:pPr>
        <w:pStyle w:val="Normal"/>
        <w:spacing w:before="51" w:after="57"/>
        <w:jc w:val="both"/>
        <w:rPr/>
      </w:pPr>
      <w:r>
        <w:rPr/>
        <w:t>jedn. ew. 141801_4 Góra Kalwaria, obręb 1102:</w:t>
      </w:r>
    </w:p>
    <w:p>
      <w:pPr>
        <w:pStyle w:val="Normal"/>
        <w:rPr/>
      </w:pPr>
      <w:r>
        <w:rPr/>
        <w:t>93, 94/2 (z dz. 94), 39/2 ( z dz. 39), 32/2 (z dz. 32), 24/2 ( z dz. 24), 53/3 ( z dz. 53), 52, 110, 33/2 (z dz. 33)</w:t>
      </w:r>
    </w:p>
    <w:p>
      <w:pPr>
        <w:pStyle w:val="Normal"/>
        <w:spacing w:lineRule="atLeast" w:line="0"/>
        <w:ind w:firstLine="709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Z treścią postanowienia z dnia  16 stycznia 2025 r. Starosty Piaseczyńskiego oraz załączonymi do niej materiałami można zapoznać się w Filii Wydziału Architektoniczno-Budowlanego Stanowisko w Górze Kalwarii, Rynek im. Biskupa Wierzbowskiego 1 (wejście od ul. Piłsudskiego), 05-530 Góra Kalwaria.</w:t>
      </w:r>
    </w:p>
    <w:p>
      <w:pPr>
        <w:pStyle w:val="Normal"/>
        <w:spacing w:lineRule="atLeast" w:line="0"/>
        <w:ind w:firstLine="709"/>
        <w:jc w:val="both"/>
        <w:rPr/>
      </w:pPr>
      <w:r>
        <w:rPr/>
        <w:t xml:space="preserve">Zgodnie z art. 49 k.p.a. doręczenie uważa się za dokonane po upływie czternastu dni od dnia publicznego ogłoszenia.  </w:t>
      </w:r>
    </w:p>
    <w:p>
      <w:pPr>
        <w:pStyle w:val="Normal"/>
        <w:spacing w:lineRule="atLeast" w:line="0"/>
        <w:ind w:firstLine="709"/>
        <w:jc w:val="both"/>
        <w:rPr/>
      </w:pPr>
      <w:r>
        <w:rPr/>
      </w:r>
    </w:p>
    <w:p>
      <w:pPr>
        <w:pStyle w:val="Standard"/>
        <w:spacing w:lineRule="atLeast" w:line="0"/>
        <w:ind w:firstLine="708"/>
        <w:jc w:val="both"/>
        <w:rPr/>
      </w:pPr>
      <w:r>
        <w:rPr>
          <w:b/>
          <w:bCs/>
        </w:rPr>
        <w:t>Na niniejsze postanowienie stronie przysługuje prawo do wniesienia zażalenia</w:t>
      </w:r>
      <w:r>
        <w:rPr>
          <w:b/>
        </w:rPr>
        <w:t xml:space="preserve">, </w:t>
        <w:br/>
        <w:t>za moim pośrednictwem (Starosta Piaseczyński, ul. Chyliczkowska 14, 05-500 Piaseczno)  do Wojewody Mazowieckiego, w terminie 7 dni od dnia jego doręczenia.</w:t>
      </w:r>
    </w:p>
    <w:p>
      <w:pPr>
        <w:pStyle w:val="Standard"/>
        <w:spacing w:lineRule="atLeast" w:line="0"/>
        <w:ind w:firstLine="708"/>
        <w:jc w:val="both"/>
        <w:rPr>
          <w:b/>
          <w:b/>
        </w:rPr>
      </w:pPr>
      <w:r>
        <w:rPr>
          <w:b/>
          <w:bCs/>
          <w:kern w:val="0"/>
          <w:lang w:eastAsia="pl-PL"/>
        </w:rPr>
        <w:t>Przed upływem </w:t>
      </w:r>
      <w:r>
        <w:rPr>
          <w:b/>
        </w:rPr>
        <w:t>terminu do wniesienia zażalenia strona może zrzec się prawa do wniesienia zażalenia wobec organu administracji publicznej, który wydał postanowienie.</w:t>
      </w:r>
    </w:p>
    <w:p>
      <w:pPr>
        <w:pStyle w:val="Standard"/>
        <w:spacing w:lineRule="atLeast" w:line="0"/>
        <w:ind w:firstLine="708"/>
        <w:jc w:val="both"/>
        <w:rPr>
          <w:b/>
          <w:b/>
        </w:rPr>
      </w:pPr>
      <w:r>
        <w:rPr>
          <w:b/>
        </w:rPr>
        <w:t>Z dniem doręczenia organowi administracji publicznej oświadczenia o zrzeczeniu się prawa do wniesienia zażalenia przez ostatnią ze stron postępowania, postanowienie staje się ostateczne i prawomocne.</w:t>
      </w:r>
    </w:p>
    <w:p>
      <w:pPr>
        <w:pStyle w:val="Tekstpodstawowywcity32"/>
        <w:spacing w:lineRule="atLeast" w:line="0" w:before="0" w:after="0"/>
        <w:ind w:left="0" w:hanging="0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Standard"/>
        <w:widowControl w:val="false"/>
        <w:tabs>
          <w:tab w:val="clear" w:pos="708"/>
          <w:tab w:val="center" w:pos="4536" w:leader="none"/>
          <w:tab w:val="right" w:pos="9072" w:leader="none"/>
          <w:tab w:val="right" w:pos="9639" w:leader="none"/>
        </w:tabs>
        <w:spacing w:lineRule="atLeast" w:line="0"/>
        <w:rPr/>
      </w:pPr>
      <w:r>
        <w:rPr>
          <w:b/>
        </w:rPr>
        <w:t>Nr rej. ARB.6740.1.15.2024.DM</w:t>
      </w:r>
    </w:p>
    <w:p>
      <w:pPr>
        <w:pStyle w:val="Normal"/>
        <w:tabs>
          <w:tab w:val="clear" w:pos="708"/>
          <w:tab w:val="left" w:pos="-12645" w:leader="none"/>
          <w:tab w:val="left" w:pos="-12437" w:leader="none"/>
        </w:tabs>
        <w:spacing w:lineRule="atLeast" w:line="0"/>
        <w:textAlignment w:val="baseline"/>
        <w:rPr>
          <w:b/>
          <w:b/>
        </w:rPr>
      </w:pPr>
      <w:r>
        <w:rPr>
          <w:b/>
        </w:rPr>
      </w:r>
    </w:p>
    <w:p>
      <w:pPr>
        <w:pStyle w:val="Normal"/>
        <w:tabs>
          <w:tab w:val="clear" w:pos="708"/>
          <w:tab w:val="left" w:pos="-12645" w:leader="none"/>
          <w:tab w:val="left" w:pos="-12437" w:leader="none"/>
        </w:tabs>
        <w:spacing w:lineRule="atLeast" w:line="0"/>
        <w:textAlignment w:val="baseline"/>
        <w:rPr>
          <w:kern w:val="2"/>
        </w:rPr>
      </w:pPr>
      <w:r>
        <w:rPr>
          <w:b/>
          <w:bCs/>
          <w:kern w:val="2"/>
        </w:rPr>
        <w:t>Publiczne obwieszczenie nastąpiło w dniu:</w:t>
      </w:r>
      <w:r>
        <w:rPr>
          <w:kern w:val="2"/>
        </w:rPr>
        <w:t xml:space="preserve"> </w:t>
      </w:r>
      <w:r>
        <w:rPr>
          <w:rFonts w:eastAsia="Times New Roman" w:cs="Times New Roman"/>
          <w:kern w:val="2"/>
          <w:sz w:val="24"/>
          <w:szCs w:val="24"/>
          <w:lang w:eastAsia="zh-CN"/>
        </w:rPr>
        <w:t>17.01.2025 r.</w:t>
      </w:r>
    </w:p>
    <w:p>
      <w:pPr>
        <w:pStyle w:val="Normal"/>
        <w:tabs>
          <w:tab w:val="clear" w:pos="708"/>
          <w:tab w:val="left" w:pos="-12645" w:leader="none"/>
          <w:tab w:val="left" w:pos="-12437" w:leader="none"/>
        </w:tabs>
        <w:spacing w:lineRule="atLeast" w:line="0"/>
        <w:textAlignment w:val="baseline"/>
        <w:rPr>
          <w:kern w:val="2"/>
          <w:sz w:val="20"/>
          <w:szCs w:val="20"/>
        </w:rPr>
      </w:pPr>
      <w:r>
        <w:rPr>
          <w:kern w:val="2"/>
        </w:rPr>
        <w:tab/>
        <w:tab/>
        <w:tab/>
        <w:tab/>
        <w:tab/>
        <w:tab/>
      </w:r>
      <w:r>
        <w:rPr>
          <w:kern w:val="2"/>
          <w:sz w:val="20"/>
          <w:szCs w:val="20"/>
        </w:rPr>
        <w:t xml:space="preserve">  (datę obwieszczenia wpisuje osoba dokonująca</w:t>
      </w:r>
    </w:p>
    <w:p>
      <w:pPr>
        <w:pStyle w:val="Normal"/>
        <w:tabs>
          <w:tab w:val="clear" w:pos="708"/>
          <w:tab w:val="left" w:pos="-12645" w:leader="none"/>
          <w:tab w:val="left" w:pos="-12437" w:leader="none"/>
        </w:tabs>
        <w:spacing w:lineRule="atLeast" w:line="0"/>
        <w:textAlignment w:val="baseline"/>
        <w:rPr>
          <w:kern w:val="2"/>
          <w:sz w:val="20"/>
          <w:szCs w:val="20"/>
        </w:rPr>
      </w:pPr>
      <w:r>
        <w:rPr>
          <w:kern w:val="2"/>
          <w:sz w:val="20"/>
          <w:szCs w:val="20"/>
        </w:rPr>
        <w:t xml:space="preserve">                                                                                        </w:t>
      </w:r>
      <w:r>
        <w:rPr>
          <w:kern w:val="2"/>
          <w:sz w:val="20"/>
          <w:szCs w:val="20"/>
        </w:rPr>
        <w:t>obwieszczenia na podstawie art. 49 § 2 k.p.a.)</w:t>
      </w:r>
    </w:p>
    <w:p>
      <w:pPr>
        <w:pStyle w:val="Normal"/>
        <w:spacing w:lineRule="atLeast" w:line="0"/>
        <w:rPr/>
      </w:pPr>
      <w:r>
        <w:rPr/>
      </w:r>
    </w:p>
    <w:p>
      <w:pPr>
        <w:pStyle w:val="Normal"/>
        <w:jc w:val="center"/>
        <w:rPr>
          <w:caps/>
        </w:rPr>
      </w:pPr>
      <w:r>
        <w:rPr>
          <w:caps/>
        </w:rPr>
      </w:r>
    </w:p>
    <w:p>
      <w:pPr>
        <w:pStyle w:val="Normal"/>
        <w:jc w:val="center"/>
        <w:rPr>
          <w:caps/>
        </w:rPr>
      </w:pPr>
      <w:bookmarkStart w:id="0" w:name="_GoBack"/>
      <w:bookmarkEnd w:id="0"/>
      <w:r>
        <w:rPr>
          <w:caps/>
        </w:rPr>
        <w:t>opatrzone kwalifikowanym podpisem elektronicznym</w:t>
      </w:r>
    </w:p>
    <w:p>
      <w:pPr>
        <w:pStyle w:val="Normal"/>
        <w:spacing w:before="0" w:after="120"/>
        <w:jc w:val="center"/>
        <w:rPr/>
      </w:pPr>
      <w:r>
        <w:rPr/>
        <w:t>Z up. Starosty Piaseczyńskiego</w:t>
      </w:r>
    </w:p>
    <w:p>
      <w:pPr>
        <w:pStyle w:val="Normal"/>
        <w:jc w:val="center"/>
        <w:rPr>
          <w:i/>
          <w:i/>
        </w:rPr>
      </w:pPr>
      <w:r>
        <w:rPr>
          <w:i/>
        </w:rPr>
        <w:t>mgr inż. Sylwia Moszczyńska-Staś</w:t>
      </w:r>
    </w:p>
    <w:p>
      <w:pPr>
        <w:pStyle w:val="Normal"/>
        <w:jc w:val="center"/>
        <w:rPr/>
      </w:pPr>
      <w:r>
        <w:rPr/>
        <w:t>Naczelnik Wydziału</w:t>
      </w:r>
    </w:p>
    <w:p>
      <w:pPr>
        <w:pStyle w:val="Normal"/>
        <w:jc w:val="center"/>
        <w:rPr/>
      </w:pPr>
      <w:r>
        <w:rPr/>
        <w:t>Architektoniczno-Budowlanego</w:t>
      </w:r>
    </w:p>
    <w:p>
      <w:pPr>
        <w:pStyle w:val="Normal"/>
        <w:spacing w:lineRule="atLeast" w:line="0"/>
        <w:rPr/>
      </w:pPr>
      <w:r>
        <w:rPr/>
      </w:r>
    </w:p>
    <w:p>
      <w:pPr>
        <w:pStyle w:val="Normal"/>
        <w:spacing w:lineRule="atLeast" w:line="0"/>
        <w:jc w:val="both"/>
        <w:rPr>
          <w:b/>
          <w:b/>
        </w:rPr>
      </w:pPr>
      <w:r>
        <w:rPr/>
        <w:t xml:space="preserve">                </w:t>
      </w:r>
      <w:r>
        <w:rPr>
          <w:b/>
        </w:rPr>
        <w:t>Wydruk tego dokumentu, stanowi dowód co zostało stwierdzone w piśmie, zgodnie z art. 39</w:t>
      </w:r>
      <w:r>
        <w:rPr>
          <w:b/>
          <w:vertAlign w:val="superscript"/>
        </w:rPr>
        <w:t>3</w:t>
      </w:r>
      <w:r>
        <w:rPr>
          <w:b/>
        </w:rPr>
        <w:t xml:space="preserve"> k.p.a. Został on wytworzony za pomocą systemu teleinformatycznego i podpisany kwalifikowanym podpisem elektronicznym.</w:t>
      </w:r>
    </w:p>
    <w:p>
      <w:pPr>
        <w:pStyle w:val="Normal"/>
        <w:spacing w:lineRule="atLeast" w:line="0"/>
        <w:rPr/>
      </w:pPr>
      <w:r>
        <w:rPr/>
      </w:r>
    </w:p>
    <w:sectPr>
      <w:footerReference w:type="default" r:id="rId2"/>
      <w:type w:val="nextPage"/>
      <w:pgSz w:w="11906" w:h="16838"/>
      <w:pgMar w:left="1417" w:right="1417" w:header="0" w:top="1417" w:footer="708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  <w:t>___________________________________________________________________________</w:t>
    </w:r>
  </w:p>
  <w:sdt>
    <w:sdtPr>
      <w:docPartObj>
        <w:docPartGallery w:val="Page Numbers (Bottom of Page)"/>
        <w:docPartUnique w:val="true"/>
      </w:docPartObj>
      <w:id w:val="829340194"/>
    </w:sdtPr>
    <w:sdtContent>
      <w:p>
        <w:pPr>
          <w:pStyle w:val="Stopka"/>
          <w:rPr/>
        </w:pPr>
        <w:r>
          <w:rPr>
            <w:b/>
          </w:rPr>
          <w:t>ARB.6740.1.15.2024.DM</w:t>
        </w:r>
        <w:r>
          <w:rPr/>
          <w:tab/>
          <w:tab/>
          <w:t xml:space="preserve">Strona </w:t>
        </w: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  <w:r>
          <w:rPr/>
          <w:t>/2</w:t>
        </w:r>
      </w:p>
    </w:sdtContent>
  </w:sdt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8351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zh-CN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opkaZnak" w:customStyle="1">
    <w:name w:val="Stopka Znak"/>
    <w:basedOn w:val="DefaultParagraphFont"/>
    <w:link w:val="Stopka"/>
    <w:uiPriority w:val="99"/>
    <w:qFormat/>
    <w:rsid w:val="0028351f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28351f"/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ekstpodstawowywcity32" w:customStyle="1">
    <w:name w:val="Tekst podstawowy wcięty 32"/>
    <w:basedOn w:val="Normal"/>
    <w:qFormat/>
    <w:rsid w:val="0028351f"/>
    <w:pPr>
      <w:overflowPunct w:val="true"/>
      <w:spacing w:before="0" w:after="120"/>
      <w:ind w:left="283" w:hanging="0"/>
    </w:pPr>
    <w:rPr>
      <w:sz w:val="16"/>
      <w:szCs w:val="16"/>
    </w:rPr>
  </w:style>
  <w:style w:type="paragraph" w:styleId="Standard" w:customStyle="1">
    <w:name w:val="Standard"/>
    <w:qFormat/>
    <w:rsid w:val="0028351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eastAsia="zh-CN" w:val="pl-PL" w:bidi="ar-SA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Normal"/>
    <w:link w:val="StopkaZnak"/>
    <w:uiPriority w:val="99"/>
    <w:unhideWhenUsed/>
    <w:rsid w:val="0028351f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Gwka">
    <w:name w:val="Header"/>
    <w:basedOn w:val="Normal"/>
    <w:link w:val="NagwekZnak"/>
    <w:uiPriority w:val="99"/>
    <w:unhideWhenUsed/>
    <w:rsid w:val="0028351f"/>
    <w:pPr>
      <w:tabs>
        <w:tab w:val="clear" w:pos="708"/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28351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LibreOffice/7.1.0.3$Windows_X86_64 LibreOffice_project/f6099ecf3d29644b5008cc8f48f42f4a40986e4c</Application>
  <AppVersion>15.0000</AppVersion>
  <Pages>2</Pages>
  <Words>508</Words>
  <Characters>3135</Characters>
  <CharactersWithSpaces>3766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2025-01-13T09:41:00Z</dcterms:created>
  <dc:creator>Konrad Stala</dc:creator>
  <dc:description/>
  <dc:language>pl-PL</dc:language>
  <cp:lastModifiedBy/>
  <dcterms:modified xsi:type="dcterms:W3CDTF">2025-01-17T14:49:14Z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