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D01" w:rsidRDefault="00C75D01" w:rsidP="00C75D01">
      <w:pPr>
        <w:widowControl/>
        <w:tabs>
          <w:tab w:val="left" w:pos="4095"/>
        </w:tabs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:rsidR="00C75D01" w:rsidRDefault="00C75D01" w:rsidP="00C75D01">
      <w:pPr>
        <w:widowControl/>
        <w:tabs>
          <w:tab w:val="left" w:pos="4095"/>
        </w:tabs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bidi="ar-SA"/>
        </w:rPr>
      </w:pPr>
    </w:p>
    <w:p w:rsidR="00C75D01" w:rsidRPr="000D34FF" w:rsidRDefault="00C75D01" w:rsidP="000D34FF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administracyjnego (t.j. D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>z. U. z 2024 r., poz. 572</w:t>
      </w:r>
      <w:r>
        <w:rPr>
          <w:rFonts w:ascii="Times New Roman" w:eastAsia="Times New Roman" w:hAnsi="Times New Roman" w:cs="Times New Roman"/>
          <w:color w:val="000000"/>
          <w:lang w:bidi="ar-SA"/>
        </w:rPr>
        <w:t>), czytaj dalej k.p.a., oraz na podstawie art. 72 ust. 6 ustawy z dnia 3 października 2008 r. o udostępnianiu informacji o środowisku i jego ochronie, udziale społeczeństwa w ochronie środowiska oraz o ocenach oddziaływania na środowisko (t.j. Dz. U. z 2023 poz. 1094 ze zm), informuję, iż  Starosta Piaseczyński na podstawie</w:t>
      </w:r>
      <w:r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 art. 36, w związku z art. 82   ust. 2 ustawy z dnia 7 lipca 1994 r. Pra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>wo budowlane (t.j. Dz. U. z 2024 r., poz. 725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) czytaj dalej ustawy - Prawo budowlane oraz art. 104 k.p.a., decyzją nr </w:t>
      </w:r>
      <w:r w:rsidR="000D34FF" w:rsidRPr="000D34FF">
        <w:rPr>
          <w:rFonts w:ascii="Times New Roman" w:eastAsia="Times New Roman" w:hAnsi="Times New Roman" w:cs="Times New Roman"/>
          <w:color w:val="000000"/>
          <w:lang w:bidi="ar-SA"/>
        </w:rPr>
        <w:t>1257/2024</w:t>
      </w:r>
      <w:r w:rsidRPr="000D34FF">
        <w:rPr>
          <w:rFonts w:ascii="Times New Roman" w:eastAsia="Times New Roman" w:hAnsi="Times New Roman" w:cs="Times New Roman"/>
          <w:color w:val="000000"/>
          <w:lang w:bidi="ar-SA"/>
        </w:rPr>
        <w:t xml:space="preserve"> z dnia </w:t>
      </w:r>
      <w:r w:rsidR="000D34FF" w:rsidRPr="000D34FF">
        <w:rPr>
          <w:rFonts w:ascii="Times New Roman" w:eastAsia="Times New Roman" w:hAnsi="Times New Roman" w:cs="Times New Roman"/>
          <w:color w:val="000000"/>
          <w:lang w:bidi="ar-SA"/>
        </w:rPr>
        <w:t>31 lipca 2024</w:t>
      </w:r>
      <w:r w:rsidRPr="000D34FF">
        <w:rPr>
          <w:rFonts w:ascii="Times New Roman" w:eastAsia="Times New Roman" w:hAnsi="Times New Roman" w:cs="Times New Roman"/>
          <w:color w:val="000000"/>
          <w:lang w:bidi="ar-SA"/>
        </w:rPr>
        <w:t xml:space="preserve"> r.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 zatwierdził projekt  zagospodarowania terenu 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 xml:space="preserve">i projekt architektoniczno-budowlany 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oraz udzielił </w:t>
      </w:r>
      <w:bookmarkStart w:id="0" w:name="_GoBack"/>
      <w:r>
        <w:rPr>
          <w:rFonts w:ascii="Times New Roman" w:eastAsia="Times New Roman" w:hAnsi="Times New Roman" w:cs="Times New Roman"/>
          <w:color w:val="000000"/>
          <w:lang w:bidi="ar-SA"/>
        </w:rPr>
        <w:t>pozwolenia na budowę:</w:t>
      </w:r>
    </w:p>
    <w:p w:rsidR="00C75D01" w:rsidRDefault="00C75D01" w:rsidP="00C75D01">
      <w:pPr>
        <w:widowControl/>
        <w:rPr>
          <w:rFonts w:ascii="Times New Roman" w:eastAsia="Times New Roman" w:hAnsi="Times New Roman" w:cs="Times New Roman"/>
          <w:lang w:bidi="ar-SA"/>
        </w:rPr>
      </w:pPr>
    </w:p>
    <w:p w:rsidR="00C75D01" w:rsidRDefault="00C75D01" w:rsidP="00C75D01">
      <w:pPr>
        <w:widowControl/>
        <w:rPr>
          <w:rFonts w:ascii="Times New Roman" w:eastAsia="Times New Roman" w:hAnsi="Times New Roman" w:cs="Times New Roman"/>
          <w:kern w:val="2"/>
          <w:lang w:bidi="ar-SA"/>
        </w:rPr>
      </w:pPr>
      <w:r>
        <w:rPr>
          <w:rFonts w:ascii="Times New Roman" w:eastAsia="Times New Roman" w:hAnsi="Times New Roman" w:cs="Times New Roman"/>
          <w:b/>
          <w:kern w:val="2"/>
          <w:lang w:bidi="ar-SA"/>
        </w:rPr>
        <w:t>dla:</w:t>
      </w:r>
      <w:r>
        <w:rPr>
          <w:rFonts w:ascii="Times New Roman" w:eastAsia="Times New Roman" w:hAnsi="Times New Roman" w:cs="Times New Roman"/>
          <w:kern w:val="2"/>
          <w:lang w:bidi="ar-SA"/>
        </w:rPr>
        <w:t xml:space="preserve">  Przedsiębiorstwo Wodociągów i Kanalizacji Sp. z o.o.</w:t>
      </w:r>
    </w:p>
    <w:p w:rsidR="00C75D01" w:rsidRDefault="00C75D01" w:rsidP="00C75D01">
      <w:pPr>
        <w:widowControl/>
        <w:rPr>
          <w:rFonts w:ascii="Times New Roman" w:eastAsia="Times New Roman" w:hAnsi="Times New Roman" w:cs="Times New Roman"/>
          <w:kern w:val="2"/>
          <w:lang w:bidi="ar-SA"/>
        </w:rPr>
      </w:pPr>
      <w:r>
        <w:rPr>
          <w:rFonts w:ascii="Times New Roman" w:eastAsia="Times New Roman" w:hAnsi="Times New Roman" w:cs="Times New Roman"/>
          <w:kern w:val="2"/>
          <w:lang w:bidi="ar-SA"/>
        </w:rPr>
        <w:t xml:space="preserve">        ul. Żeromskiego 39, 05-500 Piaseczno</w:t>
      </w:r>
    </w:p>
    <w:p w:rsidR="00C75D01" w:rsidRDefault="00C75D01" w:rsidP="00C75D01">
      <w:pPr>
        <w:widowControl/>
        <w:rPr>
          <w:rFonts w:ascii="Times New Roman" w:eastAsia="Times New Roman" w:hAnsi="Times New Roman" w:cs="Times New Roman"/>
          <w:kern w:val="2"/>
          <w:lang w:bidi="ar-SA"/>
        </w:rPr>
      </w:pPr>
      <w:r>
        <w:rPr>
          <w:rFonts w:ascii="Times New Roman" w:eastAsia="Times New Roman" w:hAnsi="Times New Roman" w:cs="Times New Roman"/>
          <w:color w:val="C00000"/>
          <w:kern w:val="2"/>
          <w:lang w:bidi="ar-SA"/>
        </w:rPr>
        <w:t xml:space="preserve">         </w:t>
      </w:r>
    </w:p>
    <w:p w:rsidR="00C75D01" w:rsidRDefault="000D34FF" w:rsidP="000D34FF">
      <w:pPr>
        <w:ind w:left="1474" w:hanging="1474"/>
        <w:jc w:val="both"/>
      </w:pPr>
      <w:r>
        <w:rPr>
          <w:rStyle w:val="Domylnaczcionkaakapitu2"/>
          <w:b/>
          <w:bCs/>
        </w:rPr>
        <w:t xml:space="preserve">obejmujące: </w:t>
      </w:r>
      <w:r w:rsidRPr="00692A56">
        <w:t>budowa sieci kanalizacji wodociągowych magistralnych i rozdzielczych, odcinków sieci kanalizacyjnej, betonowych komór pomiarowych oraz sieci kabli energetycznych w ul. Puławskiej na odcinku od ul. Okulickiego do ul. Jana Pawła II w Piasecznie – zadanie 1;</w:t>
      </w:r>
    </w:p>
    <w:bookmarkEnd w:id="0"/>
    <w:p w:rsidR="000D34FF" w:rsidRPr="000D34FF" w:rsidRDefault="000D34FF" w:rsidP="000D34FF">
      <w:pPr>
        <w:ind w:left="1474" w:hanging="1474"/>
        <w:jc w:val="both"/>
      </w:pPr>
    </w:p>
    <w:p w:rsidR="00C75D01" w:rsidRDefault="00C75D01" w:rsidP="00C75D01">
      <w:pPr>
        <w:ind w:left="1260" w:hanging="1260"/>
        <w:jc w:val="both"/>
        <w:rPr>
          <w:rStyle w:val="Domylnaczcionkaakapitu2"/>
          <w:color w:val="009900"/>
          <w:kern w:val="0"/>
        </w:rPr>
      </w:pPr>
      <w:r>
        <w:rPr>
          <w:rStyle w:val="Domylnaczcionkaakapitu2"/>
          <w:b/>
        </w:rPr>
        <w:t xml:space="preserve">adres inwestycji: </w:t>
      </w:r>
    </w:p>
    <w:p w:rsidR="000D34FF" w:rsidRPr="007A6EB5" w:rsidRDefault="000D34FF" w:rsidP="000D34FF">
      <w:pPr>
        <w:pStyle w:val="Standard"/>
        <w:ind w:left="1260" w:hanging="1260"/>
      </w:pPr>
      <w:r w:rsidRPr="007A6EB5">
        <w:t>obręb 0017 w jednostce ew. 141804_4 Piaseczno – miasto,</w:t>
      </w:r>
    </w:p>
    <w:p w:rsidR="000D34FF" w:rsidRPr="007A6EB5" w:rsidRDefault="000D34FF" w:rsidP="000D34FF">
      <w:pPr>
        <w:spacing w:line="276" w:lineRule="auto"/>
        <w:jc w:val="both"/>
        <w:rPr>
          <w:rFonts w:ascii="Arial Narrow" w:hAnsi="Arial Narrow" w:cs="Arial"/>
          <w:sz w:val="18"/>
          <w:szCs w:val="18"/>
        </w:rPr>
      </w:pPr>
      <w:r w:rsidRPr="007A6EB5">
        <w:t>- działka ew. nr: 37/2, 4/2, 14/59, 15/6, 18/73, 18/15, 20/2, 32, 33, 34, 31/3, 35/2, 38/5;</w:t>
      </w:r>
    </w:p>
    <w:p w:rsidR="000D34FF" w:rsidRPr="007A6EB5" w:rsidRDefault="000D34FF" w:rsidP="000D34FF">
      <w:pPr>
        <w:jc w:val="both"/>
      </w:pPr>
      <w:r w:rsidRPr="007A6EB5">
        <w:t xml:space="preserve">obręb 0019 w jednostce ew. 141804_4 Piaseczno – miasto, </w:t>
      </w:r>
    </w:p>
    <w:p w:rsidR="000D34FF" w:rsidRPr="007A6EB5" w:rsidRDefault="000D34FF" w:rsidP="000D34FF">
      <w:pPr>
        <w:jc w:val="both"/>
      </w:pPr>
      <w:r w:rsidRPr="007A6EB5">
        <w:t>-działka nr ew.: 3/2, 5/3;</w:t>
      </w:r>
    </w:p>
    <w:p w:rsidR="000D34FF" w:rsidRPr="007A6EB5" w:rsidRDefault="000D34FF" w:rsidP="000D34FF">
      <w:pPr>
        <w:jc w:val="both"/>
      </w:pPr>
      <w:r w:rsidRPr="007A6EB5">
        <w:t>obręb 0026 w jednostce ew. 141804_4 Piaseczno – miasto,</w:t>
      </w:r>
    </w:p>
    <w:p w:rsidR="000D34FF" w:rsidRPr="007A6EB5" w:rsidRDefault="000D34FF" w:rsidP="000D34FF">
      <w:pPr>
        <w:jc w:val="both"/>
      </w:pPr>
      <w:r w:rsidRPr="007A6EB5">
        <w:t>-działka nr ew.: 2/7, 21;</w:t>
      </w:r>
    </w:p>
    <w:p w:rsidR="000D34FF" w:rsidRPr="007A6EB5" w:rsidRDefault="000D34FF" w:rsidP="000D34FF">
      <w:pPr>
        <w:jc w:val="both"/>
      </w:pPr>
      <w:r w:rsidRPr="007A6EB5">
        <w:t>obręb 0020 w jednostce ew. 141804_4 Piaseczno – miasto,</w:t>
      </w:r>
    </w:p>
    <w:p w:rsidR="000D34FF" w:rsidRPr="007A6EB5" w:rsidRDefault="000D34FF" w:rsidP="000D34FF">
      <w:pPr>
        <w:jc w:val="both"/>
      </w:pPr>
      <w:r w:rsidRPr="007A6EB5">
        <w:t>-działka nr ew.: 68;</w:t>
      </w:r>
    </w:p>
    <w:p w:rsidR="00C75D01" w:rsidRDefault="00C75D01" w:rsidP="00C75D01">
      <w:pPr>
        <w:ind w:left="1260" w:hanging="1260"/>
        <w:jc w:val="both"/>
      </w:pPr>
    </w:p>
    <w:p w:rsidR="000D34FF" w:rsidRPr="000D34FF" w:rsidRDefault="00C75D01" w:rsidP="000D34FF">
      <w:pPr>
        <w:ind w:left="1260" w:hanging="1260"/>
        <w:jc w:val="both"/>
      </w:pPr>
      <w:r>
        <w:rPr>
          <w:rStyle w:val="Domylnaczcionkaakapitu2"/>
          <w:b/>
          <w:bCs/>
          <w:color w:val="000000"/>
          <w:kern w:val="0"/>
        </w:rPr>
        <w:t xml:space="preserve">identyfikator działki: </w:t>
      </w:r>
      <w:r w:rsidR="000D34FF" w:rsidRPr="007A6EB5">
        <w:t>141804_4</w:t>
      </w:r>
      <w:r w:rsidR="000D34FF">
        <w:t xml:space="preserve">.0017.37/2; </w:t>
      </w:r>
      <w:r w:rsidR="000D34FF" w:rsidRPr="007A6EB5">
        <w:t>141804_4</w:t>
      </w:r>
      <w:r w:rsidR="000D34FF">
        <w:t xml:space="preserve">.0017.4/2; </w:t>
      </w:r>
      <w:r w:rsidR="000D34FF" w:rsidRPr="007A6EB5">
        <w:t>141804_4</w:t>
      </w:r>
      <w:r w:rsidR="000D34FF">
        <w:t xml:space="preserve">.0017.14/59; </w:t>
      </w:r>
      <w:r w:rsidR="000D34FF" w:rsidRPr="007A6EB5">
        <w:t>141804_4</w:t>
      </w:r>
      <w:r w:rsidR="000D34FF">
        <w:t xml:space="preserve">.0017.15/6; </w:t>
      </w:r>
      <w:r w:rsidR="000D34FF" w:rsidRPr="007A6EB5">
        <w:t>141804_4</w:t>
      </w:r>
      <w:r w:rsidR="000D34FF">
        <w:t xml:space="preserve">.0017.18/73; </w:t>
      </w:r>
      <w:r w:rsidR="000D34FF" w:rsidRPr="007A6EB5">
        <w:t>141804_4</w:t>
      </w:r>
      <w:r w:rsidR="000D34FF">
        <w:t xml:space="preserve">.0017.18/15; </w:t>
      </w:r>
      <w:r w:rsidR="000D34FF" w:rsidRPr="007A6EB5">
        <w:t>141804_4</w:t>
      </w:r>
      <w:r w:rsidR="000D34FF">
        <w:t xml:space="preserve">.0017.20/2; </w:t>
      </w:r>
      <w:r w:rsidR="000D34FF" w:rsidRPr="007A6EB5">
        <w:t>141804_4</w:t>
      </w:r>
      <w:r w:rsidR="000D34FF">
        <w:t xml:space="preserve">.0017.32; </w:t>
      </w:r>
      <w:r w:rsidR="000D34FF" w:rsidRPr="007A6EB5">
        <w:t>141804_4</w:t>
      </w:r>
      <w:r w:rsidR="000D34FF">
        <w:t xml:space="preserve">.0017.33; </w:t>
      </w:r>
      <w:r w:rsidR="000D34FF" w:rsidRPr="007A6EB5">
        <w:t>141804_4</w:t>
      </w:r>
      <w:r w:rsidR="000D34FF">
        <w:t xml:space="preserve">.0017.34; </w:t>
      </w:r>
      <w:r w:rsidR="000D34FF" w:rsidRPr="007A6EB5">
        <w:t>141804_4</w:t>
      </w:r>
      <w:r w:rsidR="000D34FF">
        <w:t xml:space="preserve">.0017.31/3; </w:t>
      </w:r>
      <w:r w:rsidR="000D34FF" w:rsidRPr="007A6EB5">
        <w:t>141804_4</w:t>
      </w:r>
      <w:r w:rsidR="000D34FF">
        <w:t xml:space="preserve">.0017.35/2; </w:t>
      </w:r>
      <w:r w:rsidR="000D34FF" w:rsidRPr="007A6EB5">
        <w:t>141804_4</w:t>
      </w:r>
      <w:r w:rsidR="000D34FF">
        <w:t xml:space="preserve">.0017.38/5; </w:t>
      </w:r>
      <w:r w:rsidR="000D34FF" w:rsidRPr="007A6EB5">
        <w:t>141804_4</w:t>
      </w:r>
      <w:r w:rsidR="000D34FF">
        <w:t xml:space="preserve">.0019.3/2; </w:t>
      </w:r>
      <w:r w:rsidR="000D34FF" w:rsidRPr="007A6EB5">
        <w:t>141804_4</w:t>
      </w:r>
      <w:r w:rsidR="000D34FF">
        <w:t xml:space="preserve">.0019.5/3; </w:t>
      </w:r>
      <w:r w:rsidR="000D34FF" w:rsidRPr="007A6EB5">
        <w:t>141804_4</w:t>
      </w:r>
      <w:r w:rsidR="000D34FF">
        <w:t xml:space="preserve">.0026.2/7;                  </w:t>
      </w:r>
      <w:r w:rsidR="000D34FF" w:rsidRPr="007A6EB5">
        <w:t>141804_4</w:t>
      </w:r>
      <w:r w:rsidR="000D34FF">
        <w:t xml:space="preserve">.0026.21;                 </w:t>
      </w:r>
      <w:r w:rsidR="000D34FF" w:rsidRPr="007A6EB5">
        <w:t>141804_4</w:t>
      </w:r>
      <w:r w:rsidR="000D34FF">
        <w:t>.0020.68;</w:t>
      </w:r>
    </w:p>
    <w:p w:rsidR="000D34FF" w:rsidRDefault="000D34FF" w:rsidP="00C75D01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0D34FF" w:rsidRPr="000D34FF" w:rsidRDefault="00C75D01" w:rsidP="000D34FF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eastAsia="Times New Roman" w:hAnsi="Courier New" w:cs="Courier New"/>
          <w:b/>
          <w:bCs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>Zgodnie z art. 49 ustawy – Kodeks postępowania administracyjnego doręczenie uważa się za dokonane po upływie czternastu dni od dnia publicznego ogłoszenia.</w:t>
      </w:r>
    </w:p>
    <w:p w:rsidR="000D34FF" w:rsidRDefault="000D34FF" w:rsidP="00C75D01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DE1044" w:rsidRDefault="00DE1044" w:rsidP="00DE1044">
      <w:pPr>
        <w:ind w:left="2832"/>
        <w:jc w:val="center"/>
        <w:rPr>
          <w:rFonts w:ascii="Calibri" w:eastAsia="Calibri" w:hAnsi="Calibri"/>
          <w:caps/>
        </w:rPr>
      </w:pPr>
      <w:r w:rsidRPr="002A02FD">
        <w:rPr>
          <w:rFonts w:ascii="Calibri" w:eastAsia="Calibri" w:hAnsi="Calibri"/>
          <w:caps/>
        </w:rPr>
        <w:t xml:space="preserve">opatrzone kwalifikowanym </w:t>
      </w:r>
    </w:p>
    <w:p w:rsidR="00DE1044" w:rsidRPr="002A02FD" w:rsidRDefault="00DE1044" w:rsidP="00DE1044">
      <w:pPr>
        <w:ind w:left="2832"/>
        <w:jc w:val="center"/>
        <w:rPr>
          <w:rFonts w:ascii="Calibri" w:eastAsia="Calibri" w:hAnsi="Calibri"/>
          <w:caps/>
        </w:rPr>
      </w:pPr>
      <w:r>
        <w:rPr>
          <w:rFonts w:ascii="Calibri" w:eastAsia="Calibri" w:hAnsi="Calibri"/>
          <w:caps/>
        </w:rPr>
        <w:t>podpisem elektronicznym</w:t>
      </w:r>
    </w:p>
    <w:p w:rsidR="00DE1044" w:rsidRPr="002A02FD" w:rsidRDefault="00DE1044" w:rsidP="00DE1044">
      <w:pPr>
        <w:ind w:left="2832"/>
        <w:jc w:val="center"/>
        <w:rPr>
          <w:rFonts w:ascii="Calibri" w:eastAsia="Calibri" w:hAnsi="Calibri"/>
        </w:rPr>
      </w:pPr>
      <w:r w:rsidRPr="002A02FD">
        <w:rPr>
          <w:rFonts w:ascii="Calibri" w:eastAsia="Calibri" w:hAnsi="Calibri"/>
        </w:rPr>
        <w:t>Z up. Starosty Piaseczyńskiego</w:t>
      </w:r>
    </w:p>
    <w:p w:rsidR="00DE1044" w:rsidRDefault="00DE1044" w:rsidP="00DE1044">
      <w:pPr>
        <w:ind w:left="2832"/>
        <w:jc w:val="center"/>
        <w:rPr>
          <w:rFonts w:ascii="Calibri" w:eastAsia="Calibri" w:hAnsi="Calibri"/>
          <w:i/>
        </w:rPr>
      </w:pPr>
      <w:r>
        <w:rPr>
          <w:rFonts w:ascii="Calibri" w:eastAsia="Calibri" w:hAnsi="Calibri"/>
          <w:i/>
        </w:rPr>
        <w:t>Maria Wasilewska</w:t>
      </w:r>
    </w:p>
    <w:p w:rsidR="00DE1044" w:rsidRPr="002A02FD" w:rsidRDefault="00DE1044" w:rsidP="00DE1044">
      <w:pPr>
        <w:ind w:left="2832"/>
        <w:jc w:val="center"/>
        <w:rPr>
          <w:rFonts w:ascii="Calibri" w:eastAsia="Calibri" w:hAnsi="Calibri"/>
        </w:rPr>
      </w:pPr>
      <w:r w:rsidRPr="002A02FD">
        <w:rPr>
          <w:rFonts w:ascii="Calibri" w:eastAsia="Calibri" w:hAnsi="Calibri"/>
        </w:rPr>
        <w:t>Główny Specjalista Wydziału</w:t>
      </w:r>
    </w:p>
    <w:p w:rsidR="000D34FF" w:rsidRDefault="00DE1044" w:rsidP="00DE1044">
      <w:pPr>
        <w:ind w:left="2832"/>
        <w:jc w:val="center"/>
        <w:rPr>
          <w:rFonts w:ascii="Calibri" w:eastAsia="Calibri" w:hAnsi="Calibri"/>
        </w:rPr>
      </w:pPr>
      <w:r w:rsidRPr="002A02FD">
        <w:rPr>
          <w:rFonts w:ascii="Calibri" w:eastAsia="Calibri" w:hAnsi="Calibri"/>
        </w:rPr>
        <w:t>Architektoniczno-Budowlanego</w:t>
      </w:r>
    </w:p>
    <w:p w:rsidR="00DE1044" w:rsidRPr="00DE1044" w:rsidRDefault="00DE1044" w:rsidP="00DE1044">
      <w:pPr>
        <w:ind w:left="2832"/>
        <w:jc w:val="center"/>
        <w:rPr>
          <w:rFonts w:ascii="Calibri" w:eastAsia="Calibri" w:hAnsi="Calibri"/>
        </w:rPr>
      </w:pPr>
    </w:p>
    <w:p w:rsidR="00C75D01" w:rsidRDefault="00C75D01" w:rsidP="00C75D01">
      <w:pPr>
        <w:widowControl/>
        <w:jc w:val="both"/>
        <w:rPr>
          <w:rFonts w:ascii="Times New Roman" w:eastAsia="Times New Roman" w:hAnsi="Times New Roman" w:cs="Times New Roman"/>
          <w:color w:val="FF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lastRenderedPageBreak/>
        <w:t xml:space="preserve">Istnieje możliwość zapoznania się z treścią decyzji nr </w:t>
      </w:r>
      <w:r w:rsidR="000D34FF">
        <w:rPr>
          <w:rFonts w:ascii="Times New Roman" w:eastAsia="Times New Roman" w:hAnsi="Times New Roman" w:cs="Times New Roman"/>
          <w:color w:val="000000"/>
          <w:kern w:val="0"/>
          <w:lang w:bidi="ar-SA"/>
        </w:rPr>
        <w:t>1257/2024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z dnia </w:t>
      </w:r>
      <w:r w:rsidR="000D34FF">
        <w:rPr>
          <w:rFonts w:ascii="Times New Roman" w:eastAsia="Times New Roman" w:hAnsi="Times New Roman" w:cs="Times New Roman"/>
          <w:color w:val="000000"/>
          <w:kern w:val="0"/>
          <w:lang w:bidi="ar-SA"/>
        </w:rPr>
        <w:t>31 lipca 2024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r.</w:t>
      </w:r>
      <w:r w:rsidR="000D34FF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nr rej.ARB.6740.490.2024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.GM i dokumentacją w Starostwie Powiatowym w Piasecznie, ul. Chyliczkowska 14, oraz informacją o niniejszej treści decyzji na stronie internetowej Starostwa Powiatowego w Piasecznie w Biuletynie </w:t>
      </w:r>
      <w:r>
        <w:rPr>
          <w:rFonts w:ascii="Times New Roman" w:eastAsia="Times New Roman" w:hAnsi="Times New Roman" w:cs="Times New Roman"/>
          <w:kern w:val="0"/>
          <w:lang w:bidi="ar-SA"/>
        </w:rPr>
        <w:t>Informacji Publicznej.</w:t>
      </w:r>
    </w:p>
    <w:p w:rsidR="00C75D01" w:rsidRDefault="00C75D01" w:rsidP="00C75D01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DE1044" w:rsidRDefault="00DE1044" w:rsidP="00C75D01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0D34FF" w:rsidRDefault="000D34FF" w:rsidP="000D34FF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C75D01" w:rsidRDefault="00C75D01" w:rsidP="00C75D01">
      <w:pPr>
        <w:widowControl/>
        <w:ind w:left="1260" w:hanging="1260"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  <w:t xml:space="preserve"> Publiczne obwieszczenie nastąpiło w dniu</w:t>
      </w:r>
      <w:r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: </w:t>
      </w:r>
      <w:r>
        <w:rPr>
          <w:rFonts w:ascii="Times New Roman" w:eastAsia="Times New Roman" w:hAnsi="Times New Roman" w:cs="Times New Roman"/>
          <w:kern w:val="0"/>
          <w:lang w:bidi="ar-SA"/>
        </w:rPr>
        <w:t xml:space="preserve"> ……………..</w:t>
      </w:r>
    </w:p>
    <w:p w:rsidR="00C75D01" w:rsidRDefault="00C75D01" w:rsidP="00C75D01">
      <w:pPr>
        <w:widowControl/>
        <w:tabs>
          <w:tab w:val="left" w:pos="709"/>
          <w:tab w:val="left" w:pos="1418"/>
          <w:tab w:val="left" w:pos="3255"/>
        </w:tabs>
        <w:ind w:left="1260" w:hanging="1260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</w:p>
    <w:p w:rsidR="00C75D01" w:rsidRDefault="00C75D01" w:rsidP="00C75D01">
      <w:pPr>
        <w:widowControl/>
        <w:ind w:left="1260" w:hanging="1260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  <w:t xml:space="preserve">  </w:t>
      </w: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  <w:t xml:space="preserve">(datę obwieszczenia wpisuje osoba dokonująca obwieszczenia na podstawie art. 49 </w:t>
      </w: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shd w:val="clear" w:color="auto" w:fill="FFFFFF"/>
          <w:lang w:bidi="ar-SA"/>
        </w:rPr>
        <w:t>§ 2 k.p.a.</w:t>
      </w:r>
      <w:r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  <w:t>)</w:t>
      </w:r>
    </w:p>
    <w:p w:rsidR="00C75D01" w:rsidRDefault="00C75D01" w:rsidP="00C75D01">
      <w:pPr>
        <w:widowControl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bidi="ar-SA"/>
        </w:rPr>
      </w:pPr>
    </w:p>
    <w:p w:rsidR="0028267C" w:rsidRPr="0028267C" w:rsidRDefault="0028267C" w:rsidP="0028267C">
      <w:pPr>
        <w:widowControl/>
        <w:suppressAutoHyphens w:val="0"/>
        <w:autoSpaceDN/>
        <w:spacing w:after="160" w:line="259" w:lineRule="auto"/>
        <w:jc w:val="both"/>
        <w:rPr>
          <w:rFonts w:ascii="Times New Roman" w:eastAsiaTheme="minorHAnsi" w:hAnsi="Times New Roman" w:cs="Times New Roman"/>
          <w:kern w:val="0"/>
          <w:lang w:eastAsia="en-US" w:bidi="ar-SA"/>
        </w:rPr>
      </w:pPr>
    </w:p>
    <w:p w:rsidR="00C75D01" w:rsidRDefault="00C75D01" w:rsidP="00C75D01"/>
    <w:p w:rsidR="00DE1044" w:rsidRPr="008A5AE5" w:rsidRDefault="00DE1044" w:rsidP="00DE1044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Wydruk 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dokumentu, stanowi dowód </w:t>
      </w:r>
      <w:r>
        <w:rPr>
          <w:rFonts w:ascii="Times New Roman" w:eastAsia="Times New Roman" w:hAnsi="Times New Roman" w:cs="Times New Roman"/>
          <w:lang w:eastAsia="pl-PL"/>
        </w:rPr>
        <w:t xml:space="preserve">tego </w:t>
      </w:r>
      <w:r w:rsidRPr="008A5AE5">
        <w:rPr>
          <w:rFonts w:ascii="Times New Roman" w:eastAsia="Times New Roman" w:hAnsi="Times New Roman" w:cs="Times New Roman"/>
          <w:lang w:eastAsia="pl-PL"/>
        </w:rPr>
        <w:t>co zostało stwierdz</w:t>
      </w:r>
      <w:r>
        <w:rPr>
          <w:rFonts w:ascii="Times New Roman" w:eastAsia="Times New Roman" w:hAnsi="Times New Roman" w:cs="Times New Roman"/>
          <w:lang w:eastAsia="pl-PL"/>
        </w:rPr>
        <w:t>one w piśmie, zgodnie z art. 39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 k.p.a. Został on wytworzony za pomocą systemu teleinformatycznego i podpisany kwalifikowanym podpisem elektronicznym. </w:t>
      </w:r>
    </w:p>
    <w:p w:rsidR="00B810D7" w:rsidRDefault="00145353"/>
    <w:sectPr w:rsidR="00B810D7" w:rsidSect="00C75D01">
      <w:footerReference w:type="default" r:id="rId7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D01" w:rsidRDefault="00C75D01" w:rsidP="00C75D01">
      <w:r>
        <w:separator/>
      </w:r>
    </w:p>
  </w:endnote>
  <w:endnote w:type="continuationSeparator" w:id="0">
    <w:p w:rsidR="00C75D01" w:rsidRDefault="00C75D01" w:rsidP="00C7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Alte Haas Grotesk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D01" w:rsidRPr="00C75D01" w:rsidRDefault="00C75D01" w:rsidP="00C75D01">
    <w:pPr>
      <w:tabs>
        <w:tab w:val="center" w:pos="4536"/>
        <w:tab w:val="right" w:pos="9072"/>
        <w:tab w:val="right" w:pos="9639"/>
      </w:tabs>
      <w:textAlignment w:val="baseline"/>
    </w:pPr>
    <w:r w:rsidRPr="00C75D01">
      <w:rPr>
        <w:rFonts w:eastAsia="0" w:cs="Liberation Serif"/>
        <w:b/>
        <w:color w:val="000000"/>
      </w:rPr>
      <w:t>ARB.</w:t>
    </w:r>
    <w:r w:rsidR="000D34FF">
      <w:rPr>
        <w:rFonts w:eastAsia="0" w:cs="Liberation Serif"/>
        <w:b/>
      </w:rPr>
      <w:t>6740.490.2024</w:t>
    </w:r>
    <w:r w:rsidRPr="00C75D01">
      <w:rPr>
        <w:rFonts w:eastAsia="0" w:cs="Liberation Serif"/>
        <w:b/>
      </w:rPr>
      <w:t xml:space="preserve">.GM  </w:t>
    </w:r>
    <w:r w:rsidRPr="00C75D01">
      <w:rPr>
        <w:rFonts w:eastAsia="0" w:cs="Liberation Serif"/>
        <w:b/>
      </w:rPr>
      <w:tab/>
      <w:t xml:space="preserve">                                                                                         </w:t>
    </w:r>
    <w:r w:rsidRPr="00C75D01">
      <w:t xml:space="preserve">Strona </w:t>
    </w:r>
    <w:r w:rsidRPr="00C75D01">
      <w:rPr>
        <w:highlight w:val="white"/>
      </w:rPr>
      <w:fldChar w:fldCharType="begin"/>
    </w:r>
    <w:r w:rsidRPr="00C75D01">
      <w:rPr>
        <w:highlight w:val="white"/>
      </w:rPr>
      <w:instrText xml:space="preserve"> PAGE </w:instrText>
    </w:r>
    <w:r w:rsidRPr="00C75D01">
      <w:rPr>
        <w:highlight w:val="white"/>
      </w:rPr>
      <w:fldChar w:fldCharType="separate"/>
    </w:r>
    <w:r w:rsidR="00145353">
      <w:rPr>
        <w:noProof/>
        <w:highlight w:val="white"/>
      </w:rPr>
      <w:t>2</w:t>
    </w:r>
    <w:r w:rsidRPr="00C75D01">
      <w:rPr>
        <w:highlight w:val="white"/>
      </w:rPr>
      <w:fldChar w:fldCharType="end"/>
    </w:r>
    <w:r w:rsidRPr="00C75D01">
      <w:t>/2</w:t>
    </w:r>
  </w:p>
  <w:p w:rsidR="00C75D01" w:rsidRPr="00C75D01" w:rsidRDefault="00C75D01" w:rsidP="00C75D01">
    <w:pPr>
      <w:tabs>
        <w:tab w:val="center" w:pos="4536"/>
        <w:tab w:val="right" w:pos="9072"/>
        <w:tab w:val="right" w:pos="9639"/>
      </w:tabs>
      <w:jc w:val="both"/>
      <w:textAlignment w:val="baseline"/>
      <w:rPr>
        <w:rFonts w:ascii="Times New Roman" w:eastAsia="Times New Roman" w:hAnsi="Times New Roman" w:cs="Times New Roman"/>
        <w:lang w:bidi="ar-SA"/>
      </w:rPr>
    </w:pPr>
  </w:p>
  <w:p w:rsidR="00C75D01" w:rsidRDefault="00C75D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D01" w:rsidRDefault="00C75D01" w:rsidP="00C75D01">
      <w:r>
        <w:separator/>
      </w:r>
    </w:p>
  </w:footnote>
  <w:footnote w:type="continuationSeparator" w:id="0">
    <w:p w:rsidR="00C75D01" w:rsidRDefault="00C75D01" w:rsidP="00C75D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87"/>
    <w:rsid w:val="000D34FF"/>
    <w:rsid w:val="00145353"/>
    <w:rsid w:val="0028267C"/>
    <w:rsid w:val="00584FDB"/>
    <w:rsid w:val="00971425"/>
    <w:rsid w:val="009D0E8D"/>
    <w:rsid w:val="00C75D01"/>
    <w:rsid w:val="00DC6A87"/>
    <w:rsid w:val="00D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5D01"/>
    <w:pPr>
      <w:widowControl w:val="0"/>
      <w:suppressAutoHyphens/>
      <w:autoSpaceDN w:val="0"/>
      <w:spacing w:after="0" w:line="240" w:lineRule="auto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C75D01"/>
  </w:style>
  <w:style w:type="paragraph" w:styleId="Nagwek">
    <w:name w:val="header"/>
    <w:basedOn w:val="Normalny"/>
    <w:link w:val="NagwekZnak"/>
    <w:uiPriority w:val="99"/>
    <w:unhideWhenUsed/>
    <w:rsid w:val="00C75D01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75D01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C75D0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75D01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0D34F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5D01"/>
    <w:pPr>
      <w:widowControl w:val="0"/>
      <w:suppressAutoHyphens/>
      <w:autoSpaceDN w:val="0"/>
      <w:spacing w:after="0" w:line="240" w:lineRule="auto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C75D01"/>
  </w:style>
  <w:style w:type="paragraph" w:styleId="Nagwek">
    <w:name w:val="header"/>
    <w:basedOn w:val="Normalny"/>
    <w:link w:val="NagwekZnak"/>
    <w:uiPriority w:val="99"/>
    <w:unhideWhenUsed/>
    <w:rsid w:val="00C75D01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75D01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C75D0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75D01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0D34F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Makulska</dc:creator>
  <cp:lastModifiedBy>Magdalena Markuszewska</cp:lastModifiedBy>
  <cp:revision>2</cp:revision>
  <dcterms:created xsi:type="dcterms:W3CDTF">2024-07-31T12:42:00Z</dcterms:created>
  <dcterms:modified xsi:type="dcterms:W3CDTF">2024-07-31T12:42:00Z</dcterms:modified>
</cp:coreProperties>
</file>