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01" w:rsidRDefault="00C75D01" w:rsidP="00C75D01">
      <w:pPr>
        <w:widowControl/>
        <w:tabs>
          <w:tab w:val="left" w:pos="4095"/>
        </w:tabs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  <w:t>OBWIESZCZENIE STAROSTY PIASECZYŃSKIEGO</w:t>
      </w:r>
    </w:p>
    <w:p w:rsidR="00C75D01" w:rsidRDefault="00C75D01" w:rsidP="00C75D01">
      <w:pPr>
        <w:widowControl/>
        <w:tabs>
          <w:tab w:val="left" w:pos="4095"/>
        </w:tabs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bidi="ar-SA"/>
        </w:rPr>
      </w:pPr>
    </w:p>
    <w:p w:rsidR="00C75D01" w:rsidRPr="000D34FF" w:rsidRDefault="00C75D01" w:rsidP="000D34FF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lang w:bidi="ar-SA"/>
        </w:rPr>
        <w:t>Zgodnie z art. 49a ustawy z dnia 14 czerwca 1960 r. Kodeks postępowania administracyjnego (t.j. D</w:t>
      </w:r>
      <w:r w:rsidR="000D34FF">
        <w:rPr>
          <w:rFonts w:ascii="Times New Roman" w:eastAsia="Times New Roman" w:hAnsi="Times New Roman" w:cs="Times New Roman"/>
          <w:color w:val="000000"/>
          <w:lang w:bidi="ar-SA"/>
        </w:rPr>
        <w:t>z. U. z 2024 r., poz. 572</w:t>
      </w:r>
      <w:r>
        <w:rPr>
          <w:rFonts w:ascii="Times New Roman" w:eastAsia="Times New Roman" w:hAnsi="Times New Roman" w:cs="Times New Roman"/>
          <w:color w:val="000000"/>
          <w:lang w:bidi="ar-SA"/>
        </w:rPr>
        <w:t>), czytaj dalej k.p.a., oraz na podstawie art. 72 ust. 6 ustawy z dnia 3 października 2008 r. o udostępnianiu informacji o środowisku i jego ochronie, udziale społeczeństwa w ochronie środowiska oraz o ocenach oddziaływania na środowisko (t.j. Dz. U. z 2023 poz. 1094 ze zm), informuję, iż  Starosta Piaseczyński na podstawie</w:t>
      </w:r>
      <w:r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bidi="ar-SA"/>
        </w:rPr>
        <w:t>28, art. 33 ust. 1, art. 34 ust. 4 i art. 36, w związku z art. 82   ust. 2 ustawy z dnia 7 lipca 1994 r. Pra</w:t>
      </w:r>
      <w:r w:rsidR="000D34FF">
        <w:rPr>
          <w:rFonts w:ascii="Times New Roman" w:eastAsia="Times New Roman" w:hAnsi="Times New Roman" w:cs="Times New Roman"/>
          <w:color w:val="000000"/>
          <w:lang w:bidi="ar-SA"/>
        </w:rPr>
        <w:t>wo budowlane (t.j. Dz. U. z 2024 r., poz. 725</w:t>
      </w:r>
      <w:r>
        <w:rPr>
          <w:rFonts w:ascii="Times New Roman" w:eastAsia="Times New Roman" w:hAnsi="Times New Roman" w:cs="Times New Roman"/>
          <w:color w:val="000000"/>
          <w:lang w:bidi="ar-SA"/>
        </w:rPr>
        <w:t xml:space="preserve">) czytaj dalej ustawy - Prawo budowlane oraz art. 104 k.p.a., decyzją nr </w:t>
      </w:r>
      <w:r w:rsidR="004945E0">
        <w:rPr>
          <w:rFonts w:ascii="Times New Roman" w:eastAsia="Times New Roman" w:hAnsi="Times New Roman" w:cs="Times New Roman"/>
          <w:color w:val="000000"/>
          <w:lang w:bidi="ar-SA"/>
        </w:rPr>
        <w:t>1571</w:t>
      </w:r>
      <w:r w:rsidR="000D34FF" w:rsidRPr="000D34FF">
        <w:rPr>
          <w:rFonts w:ascii="Times New Roman" w:eastAsia="Times New Roman" w:hAnsi="Times New Roman" w:cs="Times New Roman"/>
          <w:color w:val="000000"/>
          <w:lang w:bidi="ar-SA"/>
        </w:rPr>
        <w:t>/2024</w:t>
      </w:r>
      <w:r w:rsidRPr="000D34FF">
        <w:rPr>
          <w:rFonts w:ascii="Times New Roman" w:eastAsia="Times New Roman" w:hAnsi="Times New Roman" w:cs="Times New Roman"/>
          <w:color w:val="000000"/>
          <w:lang w:bidi="ar-SA"/>
        </w:rPr>
        <w:t xml:space="preserve"> z dnia </w:t>
      </w:r>
      <w:r w:rsidR="004945E0">
        <w:rPr>
          <w:rFonts w:ascii="Times New Roman" w:eastAsia="Times New Roman" w:hAnsi="Times New Roman" w:cs="Times New Roman"/>
          <w:color w:val="000000"/>
          <w:lang w:bidi="ar-SA"/>
        </w:rPr>
        <w:t>25 wrześni</w:t>
      </w:r>
      <w:r w:rsidR="000D34FF" w:rsidRPr="000D34FF">
        <w:rPr>
          <w:rFonts w:ascii="Times New Roman" w:eastAsia="Times New Roman" w:hAnsi="Times New Roman" w:cs="Times New Roman"/>
          <w:color w:val="000000"/>
          <w:lang w:bidi="ar-SA"/>
        </w:rPr>
        <w:t>a 2024</w:t>
      </w:r>
      <w:r w:rsidRPr="000D34FF">
        <w:rPr>
          <w:rFonts w:ascii="Times New Roman" w:eastAsia="Times New Roman" w:hAnsi="Times New Roman" w:cs="Times New Roman"/>
          <w:color w:val="000000"/>
          <w:lang w:bidi="ar-SA"/>
        </w:rPr>
        <w:t xml:space="preserve"> r.</w:t>
      </w:r>
      <w:r>
        <w:rPr>
          <w:rFonts w:ascii="Times New Roman" w:eastAsia="Times New Roman" w:hAnsi="Times New Roman" w:cs="Times New Roman"/>
          <w:color w:val="000000"/>
          <w:lang w:bidi="ar-SA"/>
        </w:rPr>
        <w:t xml:space="preserve"> zatwierdził projekt  zagospodarowania terenu </w:t>
      </w:r>
      <w:r w:rsidR="000D34FF">
        <w:rPr>
          <w:rFonts w:ascii="Times New Roman" w:eastAsia="Times New Roman" w:hAnsi="Times New Roman" w:cs="Times New Roman"/>
          <w:color w:val="000000"/>
          <w:lang w:bidi="ar-SA"/>
        </w:rPr>
        <w:t xml:space="preserve">i projekt architektoniczno-budowlany </w:t>
      </w:r>
      <w:r>
        <w:rPr>
          <w:rFonts w:ascii="Times New Roman" w:eastAsia="Times New Roman" w:hAnsi="Times New Roman" w:cs="Times New Roman"/>
          <w:color w:val="000000"/>
          <w:lang w:bidi="ar-SA"/>
        </w:rPr>
        <w:t>oraz udzielił pozwolenia na budowę:</w:t>
      </w:r>
    </w:p>
    <w:p w:rsidR="00C75D01" w:rsidRDefault="00C75D01" w:rsidP="00C75D01">
      <w:pPr>
        <w:widowControl/>
        <w:rPr>
          <w:rFonts w:ascii="Times New Roman" w:eastAsia="Times New Roman" w:hAnsi="Times New Roman" w:cs="Times New Roman"/>
          <w:lang w:bidi="ar-SA"/>
        </w:rPr>
      </w:pPr>
    </w:p>
    <w:p w:rsidR="00C75D01" w:rsidRDefault="00C75D01" w:rsidP="00C75D01">
      <w:pPr>
        <w:widowControl/>
        <w:rPr>
          <w:rFonts w:ascii="Times New Roman" w:eastAsia="Times New Roman" w:hAnsi="Times New Roman" w:cs="Times New Roman"/>
          <w:kern w:val="2"/>
          <w:lang w:bidi="ar-SA"/>
        </w:rPr>
      </w:pPr>
      <w:r>
        <w:rPr>
          <w:rFonts w:ascii="Times New Roman" w:eastAsia="Times New Roman" w:hAnsi="Times New Roman" w:cs="Times New Roman"/>
          <w:b/>
          <w:kern w:val="2"/>
          <w:lang w:bidi="ar-SA"/>
        </w:rPr>
        <w:t>dla:</w:t>
      </w:r>
      <w:r w:rsidR="004945E0">
        <w:rPr>
          <w:rFonts w:ascii="Times New Roman" w:eastAsia="Times New Roman" w:hAnsi="Times New Roman" w:cs="Times New Roman"/>
          <w:kern w:val="2"/>
          <w:lang w:bidi="ar-SA"/>
        </w:rPr>
        <w:t xml:space="preserve">  Austria Juice Pololand  Sp. z o.o.</w:t>
      </w:r>
    </w:p>
    <w:p w:rsidR="00C75D01" w:rsidRDefault="004945E0" w:rsidP="00C75D01">
      <w:pPr>
        <w:widowControl/>
        <w:rPr>
          <w:rFonts w:ascii="Times New Roman" w:eastAsia="Times New Roman" w:hAnsi="Times New Roman" w:cs="Times New Roman"/>
          <w:kern w:val="2"/>
          <w:lang w:bidi="ar-SA"/>
        </w:rPr>
      </w:pPr>
      <w:r>
        <w:rPr>
          <w:rFonts w:ascii="Times New Roman" w:eastAsia="Times New Roman" w:hAnsi="Times New Roman" w:cs="Times New Roman"/>
          <w:kern w:val="2"/>
          <w:lang w:bidi="ar-SA"/>
        </w:rPr>
        <w:t xml:space="preserve">        ul. Kolejowa 31, 22-100 Chełm</w:t>
      </w:r>
    </w:p>
    <w:p w:rsidR="00C75D01" w:rsidRDefault="00C75D01" w:rsidP="00C75D01">
      <w:pPr>
        <w:widowControl/>
        <w:rPr>
          <w:rFonts w:ascii="Times New Roman" w:eastAsia="Times New Roman" w:hAnsi="Times New Roman" w:cs="Times New Roman"/>
          <w:kern w:val="2"/>
          <w:lang w:bidi="ar-SA"/>
        </w:rPr>
      </w:pPr>
      <w:r>
        <w:rPr>
          <w:rFonts w:ascii="Times New Roman" w:eastAsia="Times New Roman" w:hAnsi="Times New Roman" w:cs="Times New Roman"/>
          <w:color w:val="C00000"/>
          <w:kern w:val="2"/>
          <w:lang w:bidi="ar-SA"/>
        </w:rPr>
        <w:t xml:space="preserve">         </w:t>
      </w:r>
    </w:p>
    <w:p w:rsidR="00C75D01" w:rsidRPr="004945E0" w:rsidRDefault="000D34FF" w:rsidP="000D34FF">
      <w:pPr>
        <w:ind w:left="1474" w:hanging="1474"/>
        <w:jc w:val="both"/>
        <w:rPr>
          <w:vertAlign w:val="superscript"/>
        </w:rPr>
      </w:pPr>
      <w:r>
        <w:rPr>
          <w:rStyle w:val="Domylnaczcionkaakapitu2"/>
          <w:b/>
          <w:bCs/>
        </w:rPr>
        <w:t xml:space="preserve">obejmujące: </w:t>
      </w:r>
      <w:r w:rsidR="004945E0">
        <w:t>rozbudowa zakładowej oczyszczalni ścieków o zbiornik – bioreaktor o pojemności 1200 m</w:t>
      </w:r>
      <w:r w:rsidR="004945E0">
        <w:rPr>
          <w:vertAlign w:val="superscript"/>
        </w:rPr>
        <w:t>3</w:t>
      </w:r>
    </w:p>
    <w:p w:rsidR="000D34FF" w:rsidRPr="000D34FF" w:rsidRDefault="000D34FF" w:rsidP="000D34FF">
      <w:pPr>
        <w:ind w:left="1474" w:hanging="1474"/>
        <w:jc w:val="both"/>
      </w:pPr>
    </w:p>
    <w:p w:rsidR="00C75D01" w:rsidRDefault="00C75D01" w:rsidP="00C75D01">
      <w:pPr>
        <w:ind w:left="1260" w:hanging="1260"/>
        <w:jc w:val="both"/>
        <w:rPr>
          <w:rStyle w:val="Domylnaczcionkaakapitu2"/>
          <w:color w:val="009900"/>
          <w:kern w:val="0"/>
        </w:rPr>
      </w:pPr>
      <w:r>
        <w:rPr>
          <w:rStyle w:val="Domylnaczcionkaakapitu2"/>
          <w:b/>
        </w:rPr>
        <w:t xml:space="preserve">adres inwestycji: </w:t>
      </w:r>
    </w:p>
    <w:p w:rsidR="000D34FF" w:rsidRPr="007A6EB5" w:rsidRDefault="000D34FF" w:rsidP="000D34FF">
      <w:pPr>
        <w:pStyle w:val="Standard"/>
        <w:ind w:left="1260" w:hanging="1260"/>
      </w:pPr>
      <w:r w:rsidRPr="007A6EB5">
        <w:t>obręb</w:t>
      </w:r>
      <w:r w:rsidR="004945E0">
        <w:t xml:space="preserve"> 11-01 w jednostce ew. 141801_4 Góra Kalwaria- miasto</w:t>
      </w:r>
      <w:r w:rsidRPr="007A6EB5">
        <w:t>,</w:t>
      </w:r>
    </w:p>
    <w:p w:rsidR="000D34FF" w:rsidRPr="007A6EB5" w:rsidRDefault="004945E0" w:rsidP="000D34FF">
      <w:pPr>
        <w:spacing w:line="276" w:lineRule="auto"/>
        <w:jc w:val="both"/>
        <w:rPr>
          <w:rFonts w:ascii="Arial Narrow" w:hAnsi="Arial Narrow" w:cs="Arial"/>
          <w:sz w:val="18"/>
          <w:szCs w:val="18"/>
        </w:rPr>
      </w:pPr>
      <w:r>
        <w:t>- działka ew. nr: 11/27</w:t>
      </w:r>
    </w:p>
    <w:p w:rsidR="00C75D01" w:rsidRDefault="00C75D01" w:rsidP="00C75D01">
      <w:pPr>
        <w:ind w:left="1260" w:hanging="1260"/>
        <w:jc w:val="both"/>
      </w:pPr>
    </w:p>
    <w:p w:rsidR="000D34FF" w:rsidRPr="000D34FF" w:rsidRDefault="00C75D01" w:rsidP="000D34FF">
      <w:pPr>
        <w:ind w:left="1260" w:hanging="1260"/>
        <w:jc w:val="both"/>
      </w:pPr>
      <w:r>
        <w:rPr>
          <w:rStyle w:val="Domylnaczcionkaakapitu2"/>
          <w:b/>
          <w:bCs/>
          <w:color w:val="000000"/>
          <w:kern w:val="0"/>
        </w:rPr>
        <w:t xml:space="preserve">identyfikator działki: </w:t>
      </w:r>
      <w:r w:rsidR="004945E0">
        <w:t>141801</w:t>
      </w:r>
      <w:r w:rsidR="000D34FF" w:rsidRPr="007A6EB5">
        <w:t>_4</w:t>
      </w:r>
      <w:r w:rsidR="004945E0">
        <w:t>.1101.11/27</w:t>
      </w:r>
      <w:r w:rsidR="000D34FF">
        <w:t xml:space="preserve">; </w:t>
      </w:r>
    </w:p>
    <w:p w:rsidR="000D34FF" w:rsidRDefault="000D34FF" w:rsidP="00C75D01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0D34FF" w:rsidRPr="000D34FF" w:rsidRDefault="00C75D01" w:rsidP="000D34FF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eastAsia="Times New Roman" w:hAnsi="Courier New" w:cs="Courier New"/>
          <w:b/>
          <w:bCs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>Zgodnie z art. 49 ustawy – Kodeks postępowania administracyjnego doręczenie uważa się za dokonane po upływie czternastu dni od dnia publicznego ogłoszenia.</w:t>
      </w:r>
    </w:p>
    <w:p w:rsidR="000D34FF" w:rsidRDefault="000D34FF" w:rsidP="00C75D01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4945E0" w:rsidRPr="004945E0" w:rsidRDefault="004945E0" w:rsidP="004945E0">
      <w:pPr>
        <w:widowControl/>
        <w:suppressAutoHyphens w:val="0"/>
        <w:autoSpaceDN/>
        <w:spacing w:after="160" w:line="259" w:lineRule="auto"/>
        <w:jc w:val="center"/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</w:pPr>
      <w:r w:rsidRPr="004945E0"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  <w:t>opatrzone kwalifikowanym podpisem elektronicznym</w:t>
      </w:r>
    </w:p>
    <w:p w:rsidR="004945E0" w:rsidRPr="004945E0" w:rsidRDefault="004945E0" w:rsidP="004945E0">
      <w:pPr>
        <w:widowControl/>
        <w:suppressAutoHyphens w:val="0"/>
        <w:autoSpaceDN/>
        <w:spacing w:after="120" w:line="259" w:lineRule="auto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4945E0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Z up. Starosty Piaseczyńskiego</w:t>
      </w:r>
      <w:bookmarkStart w:id="0" w:name="_GoBack"/>
      <w:bookmarkEnd w:id="0"/>
    </w:p>
    <w:p w:rsidR="004945E0" w:rsidRPr="004945E0" w:rsidRDefault="004945E0" w:rsidP="004945E0">
      <w:pPr>
        <w:widowControl/>
        <w:suppressAutoHyphens w:val="0"/>
        <w:autoSpaceDN/>
        <w:spacing w:line="259" w:lineRule="auto"/>
        <w:jc w:val="center"/>
        <w:rPr>
          <w:rFonts w:asciiTheme="minorHAnsi" w:eastAsiaTheme="minorHAnsi" w:hAnsiTheme="minorHAnsi" w:cstheme="minorBidi"/>
          <w:i/>
          <w:kern w:val="0"/>
          <w:lang w:eastAsia="en-US" w:bidi="ar-SA"/>
        </w:rPr>
      </w:pPr>
      <w:r w:rsidRPr="004945E0">
        <w:rPr>
          <w:rFonts w:asciiTheme="minorHAnsi" w:eastAsiaTheme="minorHAnsi" w:hAnsiTheme="minorHAnsi" w:cstheme="minorBidi"/>
          <w:i/>
          <w:kern w:val="0"/>
          <w:lang w:eastAsia="en-US" w:bidi="ar-SA"/>
        </w:rPr>
        <w:t>mgr inż. Sylwia Moszczyńska-Staś</w:t>
      </w:r>
    </w:p>
    <w:p w:rsidR="004945E0" w:rsidRPr="004945E0" w:rsidRDefault="004945E0" w:rsidP="004945E0">
      <w:pPr>
        <w:widowControl/>
        <w:suppressAutoHyphens w:val="0"/>
        <w:autoSpaceDN/>
        <w:spacing w:line="259" w:lineRule="auto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4945E0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Naczelnik Wydziału</w:t>
      </w:r>
    </w:p>
    <w:p w:rsidR="004945E0" w:rsidRPr="004945E0" w:rsidRDefault="004945E0" w:rsidP="004945E0">
      <w:pPr>
        <w:widowControl/>
        <w:suppressAutoHyphens w:val="0"/>
        <w:autoSpaceDN/>
        <w:spacing w:after="160" w:line="259" w:lineRule="auto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4945E0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Architektoniczno-Budowlanego</w:t>
      </w:r>
    </w:p>
    <w:p w:rsidR="00DE1044" w:rsidRPr="00DE1044" w:rsidRDefault="00DE1044" w:rsidP="00DE1044">
      <w:pPr>
        <w:ind w:left="2832"/>
        <w:jc w:val="center"/>
        <w:rPr>
          <w:rFonts w:ascii="Calibri" w:eastAsia="Calibri" w:hAnsi="Calibri"/>
        </w:rPr>
      </w:pPr>
    </w:p>
    <w:p w:rsidR="00C75D01" w:rsidRDefault="00C75D01" w:rsidP="00C75D01">
      <w:pPr>
        <w:widowControl/>
        <w:jc w:val="both"/>
        <w:rPr>
          <w:rFonts w:ascii="Times New Roman" w:eastAsia="Times New Roman" w:hAnsi="Times New Roman" w:cs="Times New Roman"/>
          <w:color w:val="FF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Istnieje możliwość zapoznania się z treścią decyzji nr </w:t>
      </w:r>
      <w:r w:rsidR="004945E0">
        <w:rPr>
          <w:rFonts w:ascii="Times New Roman" w:eastAsia="Times New Roman" w:hAnsi="Times New Roman" w:cs="Times New Roman"/>
          <w:color w:val="000000"/>
          <w:kern w:val="0"/>
          <w:lang w:bidi="ar-SA"/>
        </w:rPr>
        <w:t>1571</w:t>
      </w:r>
      <w:r w:rsidR="000D34FF">
        <w:rPr>
          <w:rFonts w:ascii="Times New Roman" w:eastAsia="Times New Roman" w:hAnsi="Times New Roman" w:cs="Times New Roman"/>
          <w:color w:val="000000"/>
          <w:kern w:val="0"/>
          <w:lang w:bidi="ar-SA"/>
        </w:rPr>
        <w:t>/2024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z dnia </w:t>
      </w:r>
      <w:r w:rsidR="004945E0">
        <w:rPr>
          <w:rFonts w:ascii="Times New Roman" w:eastAsia="Times New Roman" w:hAnsi="Times New Roman" w:cs="Times New Roman"/>
          <w:color w:val="000000"/>
          <w:kern w:val="0"/>
          <w:lang w:bidi="ar-SA"/>
        </w:rPr>
        <w:t>25 wrześni</w:t>
      </w:r>
      <w:r w:rsidR="000D34FF">
        <w:rPr>
          <w:rFonts w:ascii="Times New Roman" w:eastAsia="Times New Roman" w:hAnsi="Times New Roman" w:cs="Times New Roman"/>
          <w:color w:val="000000"/>
          <w:kern w:val="0"/>
          <w:lang w:bidi="ar-SA"/>
        </w:rPr>
        <w:t>a 2024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r.</w:t>
      </w:r>
      <w:r w:rsidR="004945E0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nr rej.ARB.6740.919</w:t>
      </w:r>
      <w:r w:rsidR="000D34FF">
        <w:rPr>
          <w:rFonts w:ascii="Times New Roman" w:eastAsia="Times New Roman" w:hAnsi="Times New Roman" w:cs="Times New Roman"/>
          <w:color w:val="000000"/>
          <w:kern w:val="0"/>
          <w:lang w:bidi="ar-SA"/>
        </w:rPr>
        <w:t>.2024</w:t>
      </w:r>
      <w:r w:rsidR="004945E0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.KŚ/DM 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i dokumentacją w Starostwie Powiatowym w Piasecznie, </w:t>
      </w:r>
      <w:r w:rsidR="004945E0">
        <w:rPr>
          <w:rFonts w:ascii="Times New Roman" w:eastAsia="Times New Roman" w:hAnsi="Times New Roman" w:cs="Times New Roman"/>
          <w:color w:val="000000"/>
          <w:kern w:val="0"/>
          <w:lang w:bidi="ar-SA"/>
        </w:rPr>
        <w:t>Wydział Architektoniczno-Budowlany Stanowisko w Górze Kalwarii, Rynek im. Biskupa Wierzbowskiego 1 (wejście od  ul. Piłsudskiego)05-530 Góra Kalwaria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, oraz informacją o niniejszej treści decyzji na stronie internetowej Starostwa Powiatowego w Piasecznie w Biuletynie </w:t>
      </w:r>
      <w:r>
        <w:rPr>
          <w:rFonts w:ascii="Times New Roman" w:eastAsia="Times New Roman" w:hAnsi="Times New Roman" w:cs="Times New Roman"/>
          <w:kern w:val="0"/>
          <w:lang w:bidi="ar-SA"/>
        </w:rPr>
        <w:t>Informacji Publicznej.</w:t>
      </w:r>
    </w:p>
    <w:p w:rsidR="00C75D01" w:rsidRDefault="00C75D01" w:rsidP="00C75D01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DE1044" w:rsidRDefault="00DE1044" w:rsidP="00C75D01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0D34FF" w:rsidRDefault="000D34FF" w:rsidP="000D34FF">
      <w:pPr>
        <w:widowControl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C75D01" w:rsidRDefault="00C75D01" w:rsidP="00C75D01">
      <w:pPr>
        <w:widowControl/>
        <w:ind w:left="1260" w:hanging="1260"/>
        <w:jc w:val="both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  <w:t xml:space="preserve"> Publiczne obwieszczenie nastąpiło w dniu</w:t>
      </w:r>
      <w:r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: </w:t>
      </w:r>
      <w:r>
        <w:rPr>
          <w:rFonts w:ascii="Times New Roman" w:eastAsia="Times New Roman" w:hAnsi="Times New Roman" w:cs="Times New Roman"/>
          <w:kern w:val="0"/>
          <w:lang w:bidi="ar-SA"/>
        </w:rPr>
        <w:t xml:space="preserve"> ……………..</w:t>
      </w:r>
    </w:p>
    <w:p w:rsidR="00C75D01" w:rsidRDefault="00C75D01" w:rsidP="00C75D01">
      <w:pPr>
        <w:widowControl/>
        <w:tabs>
          <w:tab w:val="left" w:pos="709"/>
          <w:tab w:val="left" w:pos="1418"/>
          <w:tab w:val="left" w:pos="3255"/>
        </w:tabs>
        <w:ind w:left="1260" w:hanging="1260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</w:p>
    <w:p w:rsidR="00C75D01" w:rsidRDefault="00C75D01" w:rsidP="00C75D01">
      <w:pPr>
        <w:widowControl/>
        <w:ind w:left="1260" w:hanging="1260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  <w:t xml:space="preserve">  </w:t>
      </w:r>
      <w:r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  <w:t xml:space="preserve">(datę obwieszczenia wpisuje osoba dokonująca obwieszczenia na podstawie art. 49 </w:t>
      </w:r>
      <w:r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shd w:val="clear" w:color="auto" w:fill="FFFFFF"/>
          <w:lang w:bidi="ar-SA"/>
        </w:rPr>
        <w:t>§ 2 k.p.a.</w:t>
      </w:r>
      <w:r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  <w:t>)</w:t>
      </w:r>
    </w:p>
    <w:p w:rsidR="00C75D01" w:rsidRDefault="00C75D01" w:rsidP="00C75D01">
      <w:pPr>
        <w:widowControl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bidi="ar-SA"/>
        </w:rPr>
      </w:pPr>
    </w:p>
    <w:p w:rsidR="0028267C" w:rsidRPr="0028267C" w:rsidRDefault="0028267C" w:rsidP="0028267C">
      <w:pPr>
        <w:widowControl/>
        <w:suppressAutoHyphens w:val="0"/>
        <w:autoSpaceDN/>
        <w:spacing w:after="160" w:line="259" w:lineRule="auto"/>
        <w:jc w:val="both"/>
        <w:rPr>
          <w:rFonts w:ascii="Times New Roman" w:eastAsiaTheme="minorHAnsi" w:hAnsi="Times New Roman" w:cs="Times New Roman"/>
          <w:kern w:val="0"/>
          <w:lang w:eastAsia="en-US" w:bidi="ar-SA"/>
        </w:rPr>
      </w:pPr>
    </w:p>
    <w:p w:rsidR="00C75D01" w:rsidRDefault="00C75D01" w:rsidP="00C75D01"/>
    <w:p w:rsidR="00DE1044" w:rsidRPr="008A5AE5" w:rsidRDefault="00DE1044" w:rsidP="00DE1044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Wydruk 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dokumentu, stanowi dowód </w:t>
      </w:r>
      <w:r>
        <w:rPr>
          <w:rFonts w:ascii="Times New Roman" w:eastAsia="Times New Roman" w:hAnsi="Times New Roman" w:cs="Times New Roman"/>
          <w:lang w:eastAsia="pl-PL"/>
        </w:rPr>
        <w:t xml:space="preserve">tego </w:t>
      </w:r>
      <w:r w:rsidRPr="008A5AE5">
        <w:rPr>
          <w:rFonts w:ascii="Times New Roman" w:eastAsia="Times New Roman" w:hAnsi="Times New Roman" w:cs="Times New Roman"/>
          <w:lang w:eastAsia="pl-PL"/>
        </w:rPr>
        <w:t>co zostało stwierdz</w:t>
      </w:r>
      <w:r>
        <w:rPr>
          <w:rFonts w:ascii="Times New Roman" w:eastAsia="Times New Roman" w:hAnsi="Times New Roman" w:cs="Times New Roman"/>
          <w:lang w:eastAsia="pl-PL"/>
        </w:rPr>
        <w:t>one w piśmie, zgodnie z art. 39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 k.p.a. Został on wytworzony za pomocą systemu teleinformatycznego i podpisany kwalifikowanym podpisem elektronicznym. </w:t>
      </w:r>
    </w:p>
    <w:p w:rsidR="00B810D7" w:rsidRDefault="00E45771"/>
    <w:sectPr w:rsidR="00B810D7" w:rsidSect="00C75D01">
      <w:footerReference w:type="default" r:id="rId6"/>
      <w:pgSz w:w="11906" w:h="16838"/>
      <w:pgMar w:top="1417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771" w:rsidRDefault="00E45771" w:rsidP="00C75D01">
      <w:r>
        <w:separator/>
      </w:r>
    </w:p>
  </w:endnote>
  <w:endnote w:type="continuationSeparator" w:id="0">
    <w:p w:rsidR="00E45771" w:rsidRDefault="00E45771" w:rsidP="00C7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0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D01" w:rsidRPr="00C75D01" w:rsidRDefault="00C75D01" w:rsidP="00C75D01">
    <w:pPr>
      <w:tabs>
        <w:tab w:val="center" w:pos="4536"/>
        <w:tab w:val="right" w:pos="9072"/>
        <w:tab w:val="right" w:pos="9639"/>
      </w:tabs>
      <w:textAlignment w:val="baseline"/>
    </w:pPr>
    <w:r w:rsidRPr="00C75D01">
      <w:rPr>
        <w:rFonts w:eastAsia="0" w:cs="Liberation Serif"/>
        <w:b/>
        <w:color w:val="000000"/>
      </w:rPr>
      <w:t>ARB.</w:t>
    </w:r>
    <w:r w:rsidR="004945E0">
      <w:rPr>
        <w:rFonts w:eastAsia="0" w:cs="Liberation Serif"/>
        <w:b/>
      </w:rPr>
      <w:t>6740.919</w:t>
    </w:r>
    <w:r w:rsidR="000D34FF">
      <w:rPr>
        <w:rFonts w:eastAsia="0" w:cs="Liberation Serif"/>
        <w:b/>
      </w:rPr>
      <w:t>.2024</w:t>
    </w:r>
    <w:r w:rsidRPr="00C75D01">
      <w:rPr>
        <w:rFonts w:eastAsia="0" w:cs="Liberation Serif"/>
        <w:b/>
      </w:rPr>
      <w:t>.</w:t>
    </w:r>
    <w:r w:rsidR="004945E0">
      <w:rPr>
        <w:rFonts w:eastAsia="0" w:cs="Liberation Serif"/>
        <w:b/>
      </w:rPr>
      <w:t>KŚ/D</w:t>
    </w:r>
    <w:r w:rsidRPr="00C75D01">
      <w:rPr>
        <w:rFonts w:eastAsia="0" w:cs="Liberation Serif"/>
        <w:b/>
      </w:rPr>
      <w:t xml:space="preserve">M  </w:t>
    </w:r>
    <w:r w:rsidRPr="00C75D01">
      <w:rPr>
        <w:rFonts w:eastAsia="0" w:cs="Liberation Serif"/>
        <w:b/>
      </w:rPr>
      <w:tab/>
      <w:t xml:space="preserve">                                                        </w:t>
    </w:r>
    <w:r w:rsidR="004945E0">
      <w:rPr>
        <w:rFonts w:eastAsia="0" w:cs="Liberation Serif"/>
        <w:b/>
      </w:rPr>
      <w:t xml:space="preserve">                      </w:t>
    </w:r>
    <w:r w:rsidRPr="00C75D01">
      <w:rPr>
        <w:rFonts w:eastAsia="0" w:cs="Liberation Serif"/>
        <w:b/>
      </w:rPr>
      <w:t xml:space="preserve"> </w:t>
    </w:r>
    <w:r w:rsidRPr="00C75D01">
      <w:t xml:space="preserve">Strona </w:t>
    </w:r>
    <w:r w:rsidRPr="00C75D01">
      <w:rPr>
        <w:highlight w:val="white"/>
      </w:rPr>
      <w:fldChar w:fldCharType="begin"/>
    </w:r>
    <w:r w:rsidRPr="00C75D01">
      <w:rPr>
        <w:highlight w:val="white"/>
      </w:rPr>
      <w:instrText xml:space="preserve"> PAGE </w:instrText>
    </w:r>
    <w:r w:rsidRPr="00C75D01">
      <w:rPr>
        <w:highlight w:val="white"/>
      </w:rPr>
      <w:fldChar w:fldCharType="separate"/>
    </w:r>
    <w:r w:rsidR="004945E0">
      <w:rPr>
        <w:noProof/>
        <w:highlight w:val="white"/>
      </w:rPr>
      <w:t>2</w:t>
    </w:r>
    <w:r w:rsidRPr="00C75D01">
      <w:rPr>
        <w:highlight w:val="white"/>
      </w:rPr>
      <w:fldChar w:fldCharType="end"/>
    </w:r>
    <w:r w:rsidRPr="00C75D01">
      <w:t>/2</w:t>
    </w:r>
  </w:p>
  <w:p w:rsidR="00C75D01" w:rsidRPr="00C75D01" w:rsidRDefault="00C75D01" w:rsidP="00C75D01">
    <w:pPr>
      <w:tabs>
        <w:tab w:val="center" w:pos="4536"/>
        <w:tab w:val="right" w:pos="9072"/>
        <w:tab w:val="right" w:pos="9639"/>
      </w:tabs>
      <w:jc w:val="both"/>
      <w:textAlignment w:val="baseline"/>
      <w:rPr>
        <w:rFonts w:ascii="Times New Roman" w:eastAsia="Times New Roman" w:hAnsi="Times New Roman" w:cs="Times New Roman"/>
        <w:lang w:bidi="ar-SA"/>
      </w:rPr>
    </w:pPr>
  </w:p>
  <w:p w:rsidR="00C75D01" w:rsidRDefault="00C75D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771" w:rsidRDefault="00E45771" w:rsidP="00C75D01">
      <w:r>
        <w:separator/>
      </w:r>
    </w:p>
  </w:footnote>
  <w:footnote w:type="continuationSeparator" w:id="0">
    <w:p w:rsidR="00E45771" w:rsidRDefault="00E45771" w:rsidP="00C75D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A87"/>
    <w:rsid w:val="000D34FF"/>
    <w:rsid w:val="0028267C"/>
    <w:rsid w:val="004945E0"/>
    <w:rsid w:val="00584FDB"/>
    <w:rsid w:val="00971425"/>
    <w:rsid w:val="009D0E8D"/>
    <w:rsid w:val="00C75D01"/>
    <w:rsid w:val="00DC6A87"/>
    <w:rsid w:val="00DE1044"/>
    <w:rsid w:val="00E4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83FB1-143D-47CF-9DCA-43AF8FB9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D01"/>
    <w:pPr>
      <w:widowControl w:val="0"/>
      <w:suppressAutoHyphens/>
      <w:autoSpaceDN w:val="0"/>
      <w:spacing w:after="0" w:line="240" w:lineRule="auto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C75D01"/>
  </w:style>
  <w:style w:type="paragraph" w:styleId="Nagwek">
    <w:name w:val="header"/>
    <w:basedOn w:val="Normalny"/>
    <w:link w:val="NagwekZnak"/>
    <w:uiPriority w:val="99"/>
    <w:unhideWhenUsed/>
    <w:rsid w:val="00C75D01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75D01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C75D0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75D01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0D34F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Dorota Michalska</cp:lastModifiedBy>
  <cp:revision>2</cp:revision>
  <dcterms:created xsi:type="dcterms:W3CDTF">2024-09-26T07:54:00Z</dcterms:created>
  <dcterms:modified xsi:type="dcterms:W3CDTF">2024-09-26T07:54:00Z</dcterms:modified>
</cp:coreProperties>
</file>