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C0732" w:rsidRDefault="00D11B73">
      <w:pPr>
        <w:pageBreakBefore/>
        <w:tabs>
          <w:tab w:val="left" w:pos="6645"/>
        </w:tabs>
        <w:rPr>
          <w:lang w:eastAsia="pl-PL"/>
        </w:rPr>
      </w:pPr>
      <w:bookmarkStart w:id="0" w:name="_GoBack"/>
      <w:bookmarkEnd w:id="0"/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margin">
                  <wp:posOffset>0</wp:posOffset>
                </wp:positionH>
                <wp:positionV relativeFrom="margin">
                  <wp:posOffset>-114300</wp:posOffset>
                </wp:positionV>
                <wp:extent cx="2850515" cy="122364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0515" cy="1223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C0732" w:rsidRDefault="00BC0732">
                            <w:pPr>
                              <w:widowControl w:val="0"/>
                              <w:tabs>
                                <w:tab w:val="right" w:pos="9639"/>
                              </w:tabs>
                              <w:jc w:val="center"/>
                              <w:rPr>
                                <w:rFonts w:eastAsia="Lucida Sans Unicode" w:cs="Tahoma"/>
                                <w:b/>
                                <w:bCs/>
                                <w:smallCaps/>
                                <w:sz w:val="32"/>
                                <w:lang w:eastAsia="pl-PL"/>
                              </w:rPr>
                            </w:pPr>
                          </w:p>
                          <w:p w:rsidR="00BC0732" w:rsidRDefault="00BC0732">
                            <w:pPr>
                              <w:widowControl w:val="0"/>
                              <w:tabs>
                                <w:tab w:val="right" w:pos="9639"/>
                              </w:tabs>
                              <w:jc w:val="center"/>
                            </w:pPr>
                            <w:r>
                              <w:rPr>
                                <w:rFonts w:eastAsia="Lucida Sans Unicode" w:cs="Tahoma"/>
                                <w:b/>
                                <w:bCs/>
                                <w:smallCaps/>
                                <w:sz w:val="32"/>
                                <w:lang w:eastAsia="pl-PL"/>
                              </w:rPr>
                              <w:t>Starosta  Piaseczyński</w:t>
                            </w:r>
                          </w:p>
                          <w:p w:rsidR="00BC0732" w:rsidRDefault="00BC0732">
                            <w:pPr>
                              <w:widowControl w:val="0"/>
                              <w:tabs>
                                <w:tab w:val="center" w:pos="4536"/>
                                <w:tab w:val="right" w:pos="9072"/>
                                <w:tab w:val="right" w:pos="9639"/>
                              </w:tabs>
                              <w:jc w:val="center"/>
                            </w:pPr>
                            <w:r>
                              <w:rPr>
                                <w:rFonts w:eastAsia="Lucida Sans Unicode" w:cs="Tahoma"/>
                                <w:szCs w:val="20"/>
                                <w:lang w:eastAsia="pl-PL"/>
                              </w:rPr>
                              <w:t>ul. Chyliczkowska 14, 05-500 Piaseczno</w:t>
                            </w:r>
                          </w:p>
                          <w:p w:rsidR="00BC0732" w:rsidRDefault="00BC0732">
                            <w:pPr>
                              <w:widowControl w:val="0"/>
                              <w:tabs>
                                <w:tab w:val="center" w:pos="4536"/>
                                <w:tab w:val="right" w:pos="9072"/>
                                <w:tab w:val="right" w:pos="9639"/>
                              </w:tabs>
                              <w:jc w:val="center"/>
                            </w:pPr>
                            <w:r>
                              <w:rPr>
                                <w:rFonts w:eastAsia="Lucida Sans Unicode" w:cs="Tahoma"/>
                                <w:szCs w:val="16"/>
                                <w:lang w:eastAsia="pl-PL"/>
                              </w:rPr>
                              <w:t>tel.(22</w:t>
                            </w:r>
                            <w:r w:rsidR="004E73A0">
                              <w:rPr>
                                <w:rFonts w:eastAsia="Lucida Sans Unicode" w:cs="Tahoma"/>
                                <w:szCs w:val="16"/>
                                <w:lang w:eastAsia="pl-PL"/>
                              </w:rPr>
                              <w:t>) 756-62-54, fax. (22) 756-61-90</w:t>
                            </w:r>
                            <w:r>
                              <w:rPr>
                                <w:rFonts w:eastAsia="Lucida Sans Unicode" w:cs="Tahoma"/>
                                <w:szCs w:val="16"/>
                                <w:lang w:eastAsia="pl-PL"/>
                              </w:rPr>
                              <w:t xml:space="preserve">   </w:t>
                            </w:r>
                          </w:p>
                          <w:p w:rsidR="00BC0732" w:rsidRDefault="00BC0732">
                            <w:pPr>
                              <w:widowControl w:val="0"/>
                              <w:tabs>
                                <w:tab w:val="center" w:pos="4536"/>
                                <w:tab w:val="right" w:pos="9072"/>
                                <w:tab w:val="right" w:pos="9639"/>
                              </w:tabs>
                              <w:jc w:val="center"/>
                              <w:rPr>
                                <w:rFonts w:eastAsia="Lucida Sans Unicode" w:cs="Tahoma"/>
                                <w:b/>
                                <w:szCs w:val="16"/>
                                <w:lang w:eastAsia="pl-PL"/>
                              </w:rPr>
                            </w:pPr>
                          </w:p>
                          <w:p w:rsidR="00BC0732" w:rsidRDefault="00BC0732">
                            <w:pPr>
                              <w:widowControl w:val="0"/>
                              <w:tabs>
                                <w:tab w:val="center" w:pos="4536"/>
                                <w:tab w:val="right" w:pos="9072"/>
                                <w:tab w:val="right" w:pos="9639"/>
                              </w:tabs>
                              <w:jc w:val="center"/>
                            </w:pPr>
                            <w:r>
                              <w:rPr>
                                <w:rStyle w:val="Domylnaczcionkaakapitu2"/>
                                <w:rFonts w:eastAsia="Lucida Sans Unicode" w:cs="Tahoma"/>
                                <w:b/>
                                <w:szCs w:val="16"/>
                                <w:lang w:eastAsia="pl-PL"/>
                              </w:rPr>
                              <w:t>N</w:t>
                            </w:r>
                            <w:r>
                              <w:rPr>
                                <w:rStyle w:val="Domylnaczcionkaakapitu2"/>
                                <w:b/>
                              </w:rPr>
                              <w:t xml:space="preserve">r rej. </w:t>
                            </w:r>
                            <w:r>
                              <w:rPr>
                                <w:rStyle w:val="Domylnaczcionkaakapitu2"/>
                                <w:b/>
                                <w:kern w:val="0"/>
                              </w:rPr>
                              <w:t>ARB.6740.</w:t>
                            </w:r>
                            <w:r w:rsidR="0019676B">
                              <w:rPr>
                                <w:rStyle w:val="Domylnaczcionkaakapitu2"/>
                                <w:b/>
                                <w:kern w:val="0"/>
                              </w:rPr>
                              <w:t>102</w:t>
                            </w:r>
                            <w:r w:rsidR="00D54BD3">
                              <w:rPr>
                                <w:rStyle w:val="Domylnaczcionkaakapitu2"/>
                                <w:b/>
                                <w:kern w:val="0"/>
                              </w:rPr>
                              <w:t>.2023</w:t>
                            </w:r>
                            <w:r w:rsidR="002B72A7">
                              <w:rPr>
                                <w:rStyle w:val="Domylnaczcionkaakapitu2"/>
                                <w:b/>
                                <w:kern w:val="0"/>
                              </w:rPr>
                              <w:t>.MgD</w:t>
                            </w:r>
                          </w:p>
                          <w:p w:rsidR="00BC0732" w:rsidRDefault="00BC0732">
                            <w:pPr>
                              <w:widowControl w:val="0"/>
                              <w:tabs>
                                <w:tab w:val="center" w:pos="4536"/>
                                <w:tab w:val="right" w:pos="9072"/>
                                <w:tab w:val="right" w:pos="9639"/>
                              </w:tabs>
                              <w:rPr>
                                <w:rFonts w:eastAsia="Lucida Sans Unicode" w:cs="Tahoma"/>
                                <w:b/>
                                <w:sz w:val="28"/>
                                <w:szCs w:val="20"/>
                                <w:lang w:eastAsia="pl-PL"/>
                              </w:rPr>
                            </w:pPr>
                          </w:p>
                          <w:p w:rsidR="00BC0732" w:rsidRDefault="00BC0732">
                            <w:pPr>
                              <w:autoSpaceDE w:val="0"/>
                              <w:jc w:val="center"/>
                              <w:rPr>
                                <w:rFonts w:eastAsia="Lucida Sans Unicode" w:cs="Tahoma"/>
                                <w:b/>
                                <w:color w:val="000000"/>
                                <w:sz w:val="28"/>
                                <w:szCs w:val="20"/>
                                <w:lang w:eastAsia="pl-PL"/>
                              </w:rPr>
                            </w:pPr>
                          </w:p>
                          <w:p w:rsidR="00BC0732" w:rsidRDefault="00BC0732">
                            <w:pPr>
                              <w:autoSpaceDE w:val="0"/>
                              <w:jc w:val="center"/>
                              <w:rPr>
                                <w:rFonts w:eastAsia="Lucida Sans Unicode" w:cs="Tahoma"/>
                                <w:b/>
                                <w:color w:val="000000"/>
                                <w:sz w:val="28"/>
                                <w:szCs w:val="20"/>
                                <w:lang w:eastAsia="pl-PL"/>
                              </w:rPr>
                            </w:pPr>
                          </w:p>
                          <w:p w:rsidR="00BC0732" w:rsidRDefault="00BC0732">
                            <w:pPr>
                              <w:autoSpaceDE w:val="0"/>
                              <w:jc w:val="center"/>
                              <w:rPr>
                                <w:rFonts w:eastAsia="Lucida Sans Unicode" w:cs="Tahoma"/>
                                <w:b/>
                                <w:color w:val="000000"/>
                                <w:sz w:val="28"/>
                                <w:szCs w:val="20"/>
                                <w:lang w:eastAsia="pl-PL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9pt;width:224.45pt;height:96.35pt;z-index:-251658752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" stroked="f">
                <v:textbox inset="0,0,0,0">
                  <w:txbxContent>
                    <w:p w:rsidR="00BC0732" w:rsidRDefault="00BC0732">
                      <w:pPr>
                        <w:widowControl w:val="0"/>
                        <w:tabs>
                          <w:tab w:val="right" w:pos="9639"/>
                        </w:tabs>
                        <w:jc w:val="center"/>
                        <w:rPr>
                          <w:rFonts w:eastAsia="Lucida Sans Unicode" w:cs="Tahoma"/>
                          <w:b/>
                          <w:bCs/>
                          <w:smallCaps/>
                          <w:sz w:val="32"/>
                          <w:lang w:eastAsia="pl-PL"/>
                        </w:rPr>
                      </w:pPr>
                    </w:p>
                    <w:p w:rsidR="00BC0732" w:rsidRDefault="00BC0732">
                      <w:pPr>
                        <w:widowControl w:val="0"/>
                        <w:tabs>
                          <w:tab w:val="right" w:pos="9639"/>
                        </w:tabs>
                        <w:jc w:val="center"/>
                      </w:pPr>
                      <w:r>
                        <w:rPr>
                          <w:rFonts w:eastAsia="Lucida Sans Unicode" w:cs="Tahoma"/>
                          <w:b/>
                          <w:bCs/>
                          <w:smallCaps/>
                          <w:sz w:val="32"/>
                          <w:lang w:eastAsia="pl-PL"/>
                        </w:rPr>
                        <w:t>Starosta  Piaseczyński</w:t>
                      </w:r>
                    </w:p>
                    <w:p w:rsidR="00BC0732" w:rsidRDefault="00BC0732">
                      <w:pPr>
                        <w:widowControl w:val="0"/>
                        <w:tabs>
                          <w:tab w:val="center" w:pos="4536"/>
                          <w:tab w:val="right" w:pos="9072"/>
                          <w:tab w:val="right" w:pos="9639"/>
                        </w:tabs>
                        <w:jc w:val="center"/>
                      </w:pPr>
                      <w:r>
                        <w:rPr>
                          <w:rFonts w:eastAsia="Lucida Sans Unicode" w:cs="Tahoma"/>
                          <w:szCs w:val="20"/>
                          <w:lang w:eastAsia="pl-PL"/>
                        </w:rPr>
                        <w:t>ul. Chyliczkowska 14, 05-500 Piaseczno</w:t>
                      </w:r>
                    </w:p>
                    <w:p w:rsidR="00BC0732" w:rsidRDefault="00BC0732">
                      <w:pPr>
                        <w:widowControl w:val="0"/>
                        <w:tabs>
                          <w:tab w:val="center" w:pos="4536"/>
                          <w:tab w:val="right" w:pos="9072"/>
                          <w:tab w:val="right" w:pos="9639"/>
                        </w:tabs>
                        <w:jc w:val="center"/>
                      </w:pPr>
                      <w:r>
                        <w:rPr>
                          <w:rFonts w:eastAsia="Lucida Sans Unicode" w:cs="Tahoma"/>
                          <w:szCs w:val="16"/>
                          <w:lang w:eastAsia="pl-PL"/>
                        </w:rPr>
                        <w:t>tel.(22</w:t>
                      </w:r>
                      <w:r w:rsidR="004E73A0">
                        <w:rPr>
                          <w:rFonts w:eastAsia="Lucida Sans Unicode" w:cs="Tahoma"/>
                          <w:szCs w:val="16"/>
                          <w:lang w:eastAsia="pl-PL"/>
                        </w:rPr>
                        <w:t>) 756-62-54, fax. (22) 756-61-90</w:t>
                      </w:r>
                      <w:r>
                        <w:rPr>
                          <w:rFonts w:eastAsia="Lucida Sans Unicode" w:cs="Tahoma"/>
                          <w:szCs w:val="16"/>
                          <w:lang w:eastAsia="pl-PL"/>
                        </w:rPr>
                        <w:t xml:space="preserve">   </w:t>
                      </w:r>
                    </w:p>
                    <w:p w:rsidR="00BC0732" w:rsidRDefault="00BC0732">
                      <w:pPr>
                        <w:widowControl w:val="0"/>
                        <w:tabs>
                          <w:tab w:val="center" w:pos="4536"/>
                          <w:tab w:val="right" w:pos="9072"/>
                          <w:tab w:val="right" w:pos="9639"/>
                        </w:tabs>
                        <w:jc w:val="center"/>
                        <w:rPr>
                          <w:rFonts w:eastAsia="Lucida Sans Unicode" w:cs="Tahoma"/>
                          <w:b/>
                          <w:szCs w:val="16"/>
                          <w:lang w:eastAsia="pl-PL"/>
                        </w:rPr>
                      </w:pPr>
                    </w:p>
                    <w:p w:rsidR="00BC0732" w:rsidRDefault="00BC0732">
                      <w:pPr>
                        <w:widowControl w:val="0"/>
                        <w:tabs>
                          <w:tab w:val="center" w:pos="4536"/>
                          <w:tab w:val="right" w:pos="9072"/>
                          <w:tab w:val="right" w:pos="9639"/>
                        </w:tabs>
                        <w:jc w:val="center"/>
                      </w:pPr>
                      <w:r>
                        <w:rPr>
                          <w:rStyle w:val="Domylnaczcionkaakapitu2"/>
                          <w:rFonts w:eastAsia="Lucida Sans Unicode" w:cs="Tahoma"/>
                          <w:b/>
                          <w:szCs w:val="16"/>
                          <w:lang w:eastAsia="pl-PL"/>
                        </w:rPr>
                        <w:t>N</w:t>
                      </w:r>
                      <w:r>
                        <w:rPr>
                          <w:rStyle w:val="Domylnaczcionkaakapitu2"/>
                          <w:b/>
                        </w:rPr>
                        <w:t xml:space="preserve">r rej. </w:t>
                      </w:r>
                      <w:r>
                        <w:rPr>
                          <w:rStyle w:val="Domylnaczcionkaakapitu2"/>
                          <w:b/>
                          <w:kern w:val="0"/>
                        </w:rPr>
                        <w:t>ARB.6740.</w:t>
                      </w:r>
                      <w:r w:rsidR="0019676B">
                        <w:rPr>
                          <w:rStyle w:val="Domylnaczcionkaakapitu2"/>
                          <w:b/>
                          <w:kern w:val="0"/>
                        </w:rPr>
                        <w:t>102</w:t>
                      </w:r>
                      <w:r w:rsidR="00D54BD3">
                        <w:rPr>
                          <w:rStyle w:val="Domylnaczcionkaakapitu2"/>
                          <w:b/>
                          <w:kern w:val="0"/>
                        </w:rPr>
                        <w:t>.2023</w:t>
                      </w:r>
                      <w:r w:rsidR="002B72A7">
                        <w:rPr>
                          <w:rStyle w:val="Domylnaczcionkaakapitu2"/>
                          <w:b/>
                          <w:kern w:val="0"/>
                        </w:rPr>
                        <w:t>.MgD</w:t>
                      </w:r>
                    </w:p>
                    <w:p w:rsidR="00BC0732" w:rsidRDefault="00BC0732">
                      <w:pPr>
                        <w:widowControl w:val="0"/>
                        <w:tabs>
                          <w:tab w:val="center" w:pos="4536"/>
                          <w:tab w:val="right" w:pos="9072"/>
                          <w:tab w:val="right" w:pos="9639"/>
                        </w:tabs>
                        <w:rPr>
                          <w:rFonts w:eastAsia="Lucida Sans Unicode" w:cs="Tahoma"/>
                          <w:b/>
                          <w:sz w:val="28"/>
                          <w:szCs w:val="20"/>
                          <w:lang w:eastAsia="pl-PL"/>
                        </w:rPr>
                      </w:pPr>
                    </w:p>
                    <w:p w:rsidR="00BC0732" w:rsidRDefault="00BC0732">
                      <w:pPr>
                        <w:autoSpaceDE w:val="0"/>
                        <w:jc w:val="center"/>
                        <w:rPr>
                          <w:rFonts w:eastAsia="Lucida Sans Unicode" w:cs="Tahoma"/>
                          <w:b/>
                          <w:color w:val="000000"/>
                          <w:sz w:val="28"/>
                          <w:szCs w:val="20"/>
                          <w:lang w:eastAsia="pl-PL"/>
                        </w:rPr>
                      </w:pPr>
                    </w:p>
                    <w:p w:rsidR="00BC0732" w:rsidRDefault="00BC0732">
                      <w:pPr>
                        <w:autoSpaceDE w:val="0"/>
                        <w:jc w:val="center"/>
                        <w:rPr>
                          <w:rFonts w:eastAsia="Lucida Sans Unicode" w:cs="Tahoma"/>
                          <w:b/>
                          <w:color w:val="000000"/>
                          <w:sz w:val="28"/>
                          <w:szCs w:val="20"/>
                          <w:lang w:eastAsia="pl-PL"/>
                        </w:rPr>
                      </w:pPr>
                    </w:p>
                    <w:p w:rsidR="00BC0732" w:rsidRDefault="00BC0732">
                      <w:pPr>
                        <w:autoSpaceDE w:val="0"/>
                        <w:jc w:val="center"/>
                        <w:rPr>
                          <w:rFonts w:eastAsia="Lucida Sans Unicode" w:cs="Tahoma"/>
                          <w:b/>
                          <w:color w:val="000000"/>
                          <w:sz w:val="28"/>
                          <w:szCs w:val="20"/>
                          <w:lang w:eastAsia="pl-PL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BC0732">
        <w:cr/>
      </w:r>
      <w:r w:rsidR="00BC0732">
        <w:rPr>
          <w:lang w:eastAsia="pl-PL"/>
        </w:rPr>
        <w:t xml:space="preserve">  </w:t>
      </w:r>
    </w:p>
    <w:p w:rsidR="00BC0732" w:rsidRPr="002B72A7" w:rsidRDefault="00BC0732">
      <w:pPr>
        <w:tabs>
          <w:tab w:val="left" w:pos="6645"/>
        </w:tabs>
        <w:jc w:val="right"/>
      </w:pPr>
      <w:r w:rsidRPr="002B72A7">
        <w:t>Piaseczno,</w:t>
      </w:r>
      <w:bookmarkStart w:id="1" w:name="Tekst1"/>
      <w:r w:rsidR="008B742D">
        <w:t xml:space="preserve"> </w:t>
      </w:r>
      <w:r w:rsidR="000261BC">
        <w:t>25</w:t>
      </w:r>
      <w:r w:rsidR="0019676B">
        <w:t xml:space="preserve"> września</w:t>
      </w:r>
      <w:r w:rsidRPr="002B72A7">
        <w:fldChar w:fldCharType="begin">
          <w:ffData>
            <w:name w:val="Tekst1"/>
            <w:enabled/>
            <w:calcOnExit w:val="0"/>
            <w:textInput/>
          </w:ffData>
        </w:fldChar>
      </w:r>
      <w:r w:rsidRPr="002B72A7">
        <w:instrText xml:space="preserve"> FORMTEXT </w:instrText>
      </w:r>
      <w:r w:rsidRPr="002B72A7">
        <w:instrText/>
      </w:r>
      <w:r w:rsidRPr="002B72A7">
        <w:fldChar w:fldCharType="end"/>
      </w:r>
      <w:bookmarkEnd w:id="1"/>
      <w:r w:rsidRPr="002B72A7">
        <w:rPr>
          <w:rStyle w:val="Domylnaczcionkaakapitu2"/>
        </w:rPr>
        <w:t xml:space="preserve"> 202</w:t>
      </w:r>
      <w:r w:rsidR="00B80882" w:rsidRPr="002B72A7">
        <w:rPr>
          <w:rStyle w:val="Domylnaczcionkaakapitu2"/>
        </w:rPr>
        <w:t>3</w:t>
      </w:r>
      <w:r w:rsidRPr="002B72A7">
        <w:rPr>
          <w:rStyle w:val="Domylnaczcionkaakapitu2"/>
        </w:rPr>
        <w:t xml:space="preserve"> r.</w:t>
      </w:r>
    </w:p>
    <w:p w:rsidR="00BC0732" w:rsidRPr="002B72A7" w:rsidRDefault="0019676B" w:rsidP="0019676B">
      <w:pPr>
        <w:tabs>
          <w:tab w:val="left" w:pos="2880"/>
        </w:tabs>
      </w:pPr>
      <w:r>
        <w:tab/>
      </w:r>
    </w:p>
    <w:p w:rsidR="00BC0732" w:rsidRPr="002B72A7" w:rsidRDefault="008B742D" w:rsidP="008B742D">
      <w:pPr>
        <w:tabs>
          <w:tab w:val="center" w:pos="1967"/>
          <w:tab w:val="left" w:pos="2340"/>
          <w:tab w:val="left" w:pos="2925"/>
          <w:tab w:val="left" w:pos="4500"/>
        </w:tabs>
        <w:ind w:right="5137"/>
      </w:pPr>
      <w:r>
        <w:tab/>
      </w:r>
    </w:p>
    <w:p w:rsidR="00E03D63" w:rsidRDefault="00BC0732">
      <w:pPr>
        <w:tabs>
          <w:tab w:val="left" w:pos="2340"/>
          <w:tab w:val="left" w:pos="4500"/>
        </w:tabs>
        <w:ind w:right="5137"/>
        <w:jc w:val="center"/>
      </w:pPr>
      <w:r w:rsidRPr="002B72A7">
        <w:t xml:space="preserve">         </w:t>
      </w:r>
      <w:r w:rsidRPr="002B72A7">
        <w:tab/>
        <w:t xml:space="preserve">                  </w:t>
      </w:r>
    </w:p>
    <w:p w:rsidR="00E03D63" w:rsidRDefault="00E03D63">
      <w:pPr>
        <w:tabs>
          <w:tab w:val="left" w:pos="2340"/>
          <w:tab w:val="left" w:pos="4500"/>
        </w:tabs>
        <w:ind w:right="5137"/>
        <w:jc w:val="center"/>
      </w:pPr>
    </w:p>
    <w:p w:rsidR="00BC0732" w:rsidRPr="002B72A7" w:rsidRDefault="00BC0732">
      <w:pPr>
        <w:tabs>
          <w:tab w:val="left" w:pos="2340"/>
          <w:tab w:val="left" w:pos="4500"/>
        </w:tabs>
        <w:ind w:right="5137"/>
        <w:jc w:val="center"/>
      </w:pPr>
      <w:r w:rsidRPr="002B72A7">
        <w:t xml:space="preserve"> </w:t>
      </w:r>
    </w:p>
    <w:p w:rsidR="00BC0732" w:rsidRPr="002B72A7" w:rsidRDefault="00BC0732">
      <w:pPr>
        <w:tabs>
          <w:tab w:val="left" w:pos="4095"/>
        </w:tabs>
        <w:jc w:val="center"/>
      </w:pPr>
      <w:r w:rsidRPr="002B72A7">
        <w:rPr>
          <w:rStyle w:val="Domylnaczcionkaakapitu2"/>
          <w:b/>
          <w:bCs/>
          <w:sz w:val="32"/>
          <w:szCs w:val="32"/>
        </w:rPr>
        <w:t>DECYZJA  NR</w:t>
      </w:r>
      <w:r w:rsidR="00A107DF">
        <w:rPr>
          <w:rStyle w:val="Domylnaczcionkaakapitu2"/>
          <w:b/>
          <w:bCs/>
          <w:sz w:val="32"/>
          <w:szCs w:val="32"/>
        </w:rPr>
        <w:t xml:space="preserve">  </w:t>
      </w:r>
      <w:r w:rsidR="000261BC">
        <w:rPr>
          <w:rStyle w:val="Domylnaczcionkaakapitu2"/>
          <w:b/>
          <w:bCs/>
          <w:sz w:val="32"/>
          <w:szCs w:val="32"/>
        </w:rPr>
        <w:t>1298</w:t>
      </w:r>
      <w:r w:rsidR="00A107DF">
        <w:rPr>
          <w:rStyle w:val="Domylnaczcionkaakapitu2"/>
          <w:b/>
          <w:bCs/>
          <w:sz w:val="32"/>
          <w:szCs w:val="32"/>
        </w:rPr>
        <w:t xml:space="preserve"> </w:t>
      </w:r>
      <w:r w:rsidRPr="002B72A7">
        <w:rPr>
          <w:rStyle w:val="Domylnaczcionkaakapitu2"/>
          <w:b/>
          <w:bCs/>
          <w:sz w:val="32"/>
          <w:szCs w:val="32"/>
        </w:rPr>
        <w:t>/202</w:t>
      </w:r>
      <w:r w:rsidR="00B80882" w:rsidRPr="002B72A7">
        <w:rPr>
          <w:rStyle w:val="Domylnaczcionkaakapitu2"/>
          <w:b/>
          <w:bCs/>
          <w:sz w:val="32"/>
          <w:szCs w:val="32"/>
        </w:rPr>
        <w:t>3</w:t>
      </w:r>
    </w:p>
    <w:p w:rsidR="00BC0732" w:rsidRPr="002B72A7" w:rsidRDefault="00BC0732">
      <w:pPr>
        <w:tabs>
          <w:tab w:val="left" w:pos="4095"/>
        </w:tabs>
        <w:jc w:val="center"/>
        <w:rPr>
          <w:bCs/>
        </w:rPr>
      </w:pPr>
    </w:p>
    <w:p w:rsidR="00BC0732" w:rsidRPr="002B72A7" w:rsidRDefault="00BC0732">
      <w:pPr>
        <w:ind w:firstLine="709"/>
        <w:jc w:val="both"/>
      </w:pPr>
      <w:r w:rsidRPr="002B72A7">
        <w:t xml:space="preserve">Na podstawie art. 28, art. 33 ust. 1, art. 34 ust. 4 i art. 36, w związku z art. 82   ust. 2 ustawy z dnia 7 lipca 1994 r. Prawo budowlane (t.j. </w:t>
      </w:r>
      <w:r w:rsidR="0019676B">
        <w:t xml:space="preserve">Dz. U. z 2023 r., poz. 682 </w:t>
      </w:r>
      <w:r w:rsidRPr="002B72A7">
        <w:t xml:space="preserve">ze zm.) czytaj dalej ustawy - Prawo budowlane oraz na podstawie art. 104 ustawy z dnia 14 czerwca 1960 r. Kodeks postępowania administracyjnego </w:t>
      </w:r>
      <w:r w:rsidRPr="002B72A7">
        <w:rPr>
          <w:rStyle w:val="Domylnaczcionkaakapitu2"/>
          <w:kern w:val="0"/>
        </w:rPr>
        <w:t>(t.j. Dz. U. z  202</w:t>
      </w:r>
      <w:r w:rsidR="0019676B">
        <w:rPr>
          <w:rStyle w:val="Domylnaczcionkaakapitu2"/>
          <w:kern w:val="0"/>
        </w:rPr>
        <w:t>3</w:t>
      </w:r>
      <w:r w:rsidRPr="002B72A7">
        <w:rPr>
          <w:rStyle w:val="Domylnaczcionkaakapitu2"/>
          <w:kern w:val="0"/>
        </w:rPr>
        <w:t xml:space="preserve"> r., poz. </w:t>
      </w:r>
      <w:r w:rsidR="0019676B">
        <w:rPr>
          <w:rStyle w:val="Domylnaczcionkaakapitu2"/>
          <w:kern w:val="0"/>
        </w:rPr>
        <w:t>775</w:t>
      </w:r>
      <w:r w:rsidRPr="002B72A7">
        <w:rPr>
          <w:rStyle w:val="Domylnaczcionkaakapitu2"/>
          <w:kern w:val="0"/>
        </w:rPr>
        <w:t xml:space="preserve"> ze zm.), </w:t>
      </w:r>
      <w:r w:rsidRPr="002B72A7">
        <w:t>czytaj dalej k.p.a.,</w:t>
      </w:r>
    </w:p>
    <w:p w:rsidR="00BC0732" w:rsidRPr="002B72A7" w:rsidRDefault="00BC0732">
      <w:pPr>
        <w:jc w:val="both"/>
        <w:rPr>
          <w:b/>
        </w:rPr>
      </w:pPr>
    </w:p>
    <w:p w:rsidR="00BC0732" w:rsidRPr="002B72A7" w:rsidRDefault="00BC0732" w:rsidP="0019676B">
      <w:pPr>
        <w:ind w:left="1260" w:hanging="1260"/>
        <w:jc w:val="both"/>
      </w:pPr>
      <w:r w:rsidRPr="002B72A7">
        <w:rPr>
          <w:rStyle w:val="Domylnaczcionkaakapitu2"/>
          <w:b/>
        </w:rPr>
        <w:t>po rozpatrzeniu:</w:t>
      </w:r>
      <w:r w:rsidRPr="002B72A7">
        <w:t xml:space="preserve"> wniosku o pozwolenie na budowę z </w:t>
      </w:r>
      <w:r w:rsidR="0019676B">
        <w:t>dnia 31 stycznia 2023 r., uzupełnionego w dniu 23 marca 2023 r. o wniosek o pozwolenie na rozbiórkę</w:t>
      </w:r>
    </w:p>
    <w:p w:rsidR="00BC0732" w:rsidRDefault="00BC0732">
      <w:pPr>
        <w:jc w:val="both"/>
        <w:rPr>
          <w:b/>
        </w:rPr>
      </w:pPr>
    </w:p>
    <w:p w:rsidR="00662608" w:rsidRPr="002B72A7" w:rsidRDefault="00662608">
      <w:pPr>
        <w:jc w:val="both"/>
        <w:rPr>
          <w:b/>
        </w:rPr>
      </w:pPr>
    </w:p>
    <w:p w:rsidR="00BC0732" w:rsidRPr="002B72A7" w:rsidRDefault="00BC0732">
      <w:pPr>
        <w:jc w:val="center"/>
      </w:pPr>
      <w:r w:rsidRPr="002B72A7">
        <w:rPr>
          <w:b/>
          <w:u w:val="single"/>
        </w:rPr>
        <w:t xml:space="preserve">zatwierdzam </w:t>
      </w:r>
    </w:p>
    <w:p w:rsidR="00BC0732" w:rsidRPr="002B72A7" w:rsidRDefault="00BC0732">
      <w:pPr>
        <w:jc w:val="center"/>
      </w:pPr>
      <w:r w:rsidRPr="002B72A7">
        <w:rPr>
          <w:b/>
          <w:u w:val="single"/>
        </w:rPr>
        <w:t>projekt zagospodarowania terenu</w:t>
      </w:r>
    </w:p>
    <w:p w:rsidR="00BC0732" w:rsidRPr="002B72A7" w:rsidRDefault="00BC0732">
      <w:pPr>
        <w:jc w:val="center"/>
      </w:pPr>
      <w:r w:rsidRPr="002B72A7">
        <w:rPr>
          <w:b/>
          <w:u w:val="single"/>
        </w:rPr>
        <w:t xml:space="preserve"> i projekt architektoniczno-budowlany</w:t>
      </w:r>
    </w:p>
    <w:p w:rsidR="00BC0732" w:rsidRDefault="00BC0732">
      <w:pPr>
        <w:jc w:val="center"/>
        <w:rPr>
          <w:b/>
          <w:u w:val="single"/>
        </w:rPr>
      </w:pPr>
      <w:r w:rsidRPr="002B72A7">
        <w:rPr>
          <w:b/>
          <w:u w:val="single"/>
        </w:rPr>
        <w:t xml:space="preserve">oraz udzielam pozwolenia na budowę </w:t>
      </w:r>
      <w:r w:rsidR="0019676B">
        <w:rPr>
          <w:b/>
          <w:u w:val="single"/>
        </w:rPr>
        <w:t>i rozbiórkę</w:t>
      </w:r>
    </w:p>
    <w:p w:rsidR="00FB49DB" w:rsidRDefault="00FB49DB">
      <w:pPr>
        <w:jc w:val="center"/>
      </w:pPr>
    </w:p>
    <w:p w:rsidR="00662608" w:rsidRPr="002B72A7" w:rsidRDefault="00662608">
      <w:pPr>
        <w:jc w:val="center"/>
      </w:pPr>
    </w:p>
    <w:p w:rsidR="00EE14CC" w:rsidRDefault="00EE14CC" w:rsidP="00EE14CC">
      <w:pPr>
        <w:ind w:left="1400" w:hanging="1400"/>
      </w:pPr>
      <w:r>
        <w:rPr>
          <w:b/>
        </w:rPr>
        <w:t>dla:</w:t>
      </w:r>
      <w:r>
        <w:t xml:space="preserve">           Przedsiębiorstwo Wodociągów i Kanalizacji w Piasecznie Sp.  z o.o. </w:t>
      </w:r>
    </w:p>
    <w:p w:rsidR="00EE14CC" w:rsidRDefault="00EE14CC" w:rsidP="00EE14CC">
      <w:pPr>
        <w:tabs>
          <w:tab w:val="left" w:pos="6420"/>
        </w:tabs>
        <w:ind w:left="1400" w:hanging="1400"/>
      </w:pPr>
      <w:r>
        <w:t xml:space="preserve">                  ul. Żeromskiego 39, 05-500 Piaseczno</w:t>
      </w:r>
    </w:p>
    <w:p w:rsidR="00EE14CC" w:rsidRDefault="00EE14CC" w:rsidP="00EE14CC">
      <w:pPr>
        <w:ind w:left="1400" w:hanging="1400"/>
        <w:rPr>
          <w:color w:val="FF6600"/>
        </w:rPr>
      </w:pPr>
    </w:p>
    <w:p w:rsidR="0019676B" w:rsidRPr="00085120" w:rsidRDefault="00EE14CC" w:rsidP="0019676B">
      <w:pPr>
        <w:ind w:left="1247" w:hanging="1247"/>
        <w:jc w:val="both"/>
      </w:pPr>
      <w:r>
        <w:rPr>
          <w:b/>
        </w:rPr>
        <w:t xml:space="preserve">obejmujące: </w:t>
      </w:r>
      <w:r>
        <w:t xml:space="preserve"> </w:t>
      </w:r>
      <w:r w:rsidR="001E6DAB">
        <w:t xml:space="preserve">budowę </w:t>
      </w:r>
      <w:r w:rsidR="0019676B">
        <w:t>budynku stacji uzdatniania wody wraz z budową zbiornika wody surowej V= 2 x 125 m</w:t>
      </w:r>
      <w:r w:rsidR="0019676B">
        <w:rPr>
          <w:vertAlign w:val="superscript"/>
        </w:rPr>
        <w:t>3</w:t>
      </w:r>
      <w:r w:rsidR="0019676B">
        <w:t>, zbiornika wody czystej V = 2 x 500 m</w:t>
      </w:r>
      <w:r w:rsidR="0019676B">
        <w:rPr>
          <w:vertAlign w:val="superscript"/>
        </w:rPr>
        <w:t>3</w:t>
      </w:r>
      <w:r w:rsidR="0019676B">
        <w:t>, zbiornika wód popłucznych V= 80 m</w:t>
      </w:r>
      <w:r w:rsidR="0019676B">
        <w:rPr>
          <w:vertAlign w:val="superscript"/>
        </w:rPr>
        <w:t>3</w:t>
      </w:r>
      <w:r w:rsidR="0019676B">
        <w:t xml:space="preserve"> i infrastruktury towarzyszącej z jednoczesną rozbiórką istniejącego budynku stacji uzdatniania wody, istniejącego budynku mieszkalnego jednorodzinnego, istniejącego budynku gospodarczego, istniejących 6 zbiorników wody czystej oraz istniejącego zbiornika wody surowej </w:t>
      </w:r>
    </w:p>
    <w:p w:rsidR="0019676B" w:rsidRDefault="0019676B" w:rsidP="0019676B">
      <w:pPr>
        <w:ind w:left="1247" w:hanging="1247"/>
        <w:jc w:val="both"/>
      </w:pPr>
    </w:p>
    <w:p w:rsidR="00662608" w:rsidRPr="00662608" w:rsidRDefault="00662608" w:rsidP="0019676B">
      <w:pPr>
        <w:ind w:left="1247" w:hanging="1247"/>
        <w:jc w:val="both"/>
        <w:rPr>
          <w:b/>
          <w:u w:val="single"/>
        </w:rPr>
      </w:pPr>
      <w:r w:rsidRPr="00662608">
        <w:rPr>
          <w:b/>
          <w:u w:val="single"/>
        </w:rPr>
        <w:t xml:space="preserve">parametry </w:t>
      </w:r>
      <w:r>
        <w:rPr>
          <w:b/>
          <w:u w:val="single"/>
        </w:rPr>
        <w:t xml:space="preserve">budowanego </w:t>
      </w:r>
      <w:r w:rsidRPr="00662608">
        <w:rPr>
          <w:b/>
          <w:u w:val="single"/>
        </w:rPr>
        <w:t>budynku stacji uzdatniania wody:</w:t>
      </w:r>
    </w:p>
    <w:p w:rsidR="00662608" w:rsidRPr="00662608" w:rsidRDefault="00662608" w:rsidP="0019676B">
      <w:pPr>
        <w:ind w:left="1247" w:hanging="1247"/>
        <w:jc w:val="both"/>
        <w:rPr>
          <w:vertAlign w:val="superscript"/>
        </w:rPr>
      </w:pPr>
      <w:r>
        <w:t>powierzchnia zabudowy:                    466,81 m</w:t>
      </w:r>
      <w:r>
        <w:rPr>
          <w:vertAlign w:val="superscript"/>
        </w:rPr>
        <w:t>2</w:t>
      </w:r>
    </w:p>
    <w:p w:rsidR="00662608" w:rsidRPr="00662608" w:rsidRDefault="00662608" w:rsidP="0019676B">
      <w:pPr>
        <w:ind w:left="1247" w:hanging="1247"/>
        <w:jc w:val="both"/>
        <w:rPr>
          <w:vertAlign w:val="superscript"/>
        </w:rPr>
      </w:pPr>
      <w:r>
        <w:t>powierzchnia użytkowa:                     397,13 m</w:t>
      </w:r>
      <w:r>
        <w:rPr>
          <w:vertAlign w:val="superscript"/>
        </w:rPr>
        <w:t>2</w:t>
      </w:r>
    </w:p>
    <w:p w:rsidR="00662608" w:rsidRPr="00662608" w:rsidRDefault="00662608" w:rsidP="0019676B">
      <w:pPr>
        <w:ind w:left="1247" w:hanging="1247"/>
        <w:jc w:val="both"/>
        <w:rPr>
          <w:vertAlign w:val="superscript"/>
        </w:rPr>
      </w:pPr>
      <w:r>
        <w:t>kubatura:                                           3222,36 m</w:t>
      </w:r>
      <w:r>
        <w:rPr>
          <w:vertAlign w:val="superscript"/>
        </w:rPr>
        <w:t>2</w:t>
      </w:r>
    </w:p>
    <w:p w:rsidR="00662608" w:rsidRDefault="00662608" w:rsidP="0019676B">
      <w:pPr>
        <w:ind w:left="1247" w:hanging="1247"/>
        <w:jc w:val="both"/>
      </w:pPr>
      <w:r>
        <w:t>ilość kondygnacji:                      jedna nadziemna</w:t>
      </w:r>
    </w:p>
    <w:p w:rsidR="00662608" w:rsidRDefault="00662608" w:rsidP="0019676B">
      <w:pPr>
        <w:ind w:left="1247" w:hanging="1247"/>
        <w:jc w:val="both"/>
      </w:pPr>
    </w:p>
    <w:p w:rsidR="00662608" w:rsidRPr="00662608" w:rsidRDefault="00662608" w:rsidP="0019676B">
      <w:pPr>
        <w:ind w:left="1247" w:hanging="1247"/>
        <w:jc w:val="both"/>
        <w:rPr>
          <w:b/>
          <w:u w:val="single"/>
        </w:rPr>
      </w:pPr>
      <w:r w:rsidRPr="00662608">
        <w:rPr>
          <w:b/>
          <w:u w:val="single"/>
        </w:rPr>
        <w:t>parametry rozbieranego budynku stacji uzdatniania wody:</w:t>
      </w:r>
    </w:p>
    <w:p w:rsidR="00662608" w:rsidRPr="00662608" w:rsidRDefault="00662608" w:rsidP="0019676B">
      <w:pPr>
        <w:ind w:left="1247" w:hanging="1247"/>
        <w:jc w:val="both"/>
        <w:rPr>
          <w:vertAlign w:val="superscript"/>
        </w:rPr>
      </w:pPr>
      <w:r>
        <w:t>powierzchnia zabudowy:                    284,72 m</w:t>
      </w:r>
      <w:r>
        <w:rPr>
          <w:vertAlign w:val="superscript"/>
        </w:rPr>
        <w:t>2</w:t>
      </w:r>
    </w:p>
    <w:p w:rsidR="00662608" w:rsidRPr="00662608" w:rsidRDefault="00662608" w:rsidP="0019676B">
      <w:pPr>
        <w:ind w:left="1247" w:hanging="1247"/>
        <w:jc w:val="both"/>
        <w:rPr>
          <w:vertAlign w:val="superscript"/>
        </w:rPr>
      </w:pPr>
      <w:r>
        <w:t>powierzchnia użytkowa:                     231,00 m</w:t>
      </w:r>
      <w:r>
        <w:rPr>
          <w:vertAlign w:val="superscript"/>
        </w:rPr>
        <w:t>2</w:t>
      </w:r>
    </w:p>
    <w:p w:rsidR="00662608" w:rsidRPr="00662608" w:rsidRDefault="00662608" w:rsidP="0019676B">
      <w:pPr>
        <w:ind w:left="1247" w:hanging="1247"/>
        <w:jc w:val="both"/>
        <w:rPr>
          <w:vertAlign w:val="superscript"/>
        </w:rPr>
      </w:pPr>
      <w:r>
        <w:t>kubatura:                                           1272,00 m</w:t>
      </w:r>
      <w:r>
        <w:rPr>
          <w:vertAlign w:val="superscript"/>
        </w:rPr>
        <w:t>3</w:t>
      </w:r>
    </w:p>
    <w:p w:rsidR="00662608" w:rsidRDefault="00662608" w:rsidP="0019676B">
      <w:pPr>
        <w:ind w:left="1247" w:hanging="1247"/>
        <w:jc w:val="both"/>
      </w:pPr>
    </w:p>
    <w:p w:rsidR="00662608" w:rsidRDefault="00662608" w:rsidP="0019676B">
      <w:pPr>
        <w:ind w:left="1247" w:hanging="1247"/>
        <w:jc w:val="both"/>
      </w:pPr>
    </w:p>
    <w:p w:rsidR="0019676B" w:rsidRDefault="0019676B" w:rsidP="0019676B">
      <w:pPr>
        <w:ind w:left="1260" w:hanging="1260"/>
        <w:jc w:val="both"/>
        <w:rPr>
          <w:color w:val="000000"/>
        </w:rPr>
      </w:pPr>
      <w:r>
        <w:rPr>
          <w:b/>
          <w:color w:val="000000"/>
        </w:rPr>
        <w:t xml:space="preserve">adres zamierzenia budowlanego: </w:t>
      </w:r>
      <w:r>
        <w:rPr>
          <w:color w:val="000000"/>
        </w:rPr>
        <w:t>działki nr ew.119/11, 119/10, 117/4, 119/67, 119/66,</w:t>
      </w:r>
    </w:p>
    <w:p w:rsidR="0019676B" w:rsidRDefault="0019676B" w:rsidP="0019676B">
      <w:pPr>
        <w:ind w:left="1260" w:hanging="1260"/>
        <w:jc w:val="both"/>
        <w:rPr>
          <w:b/>
          <w:color w:val="000000"/>
        </w:rPr>
      </w:pPr>
      <w:r>
        <w:rPr>
          <w:color w:val="000000"/>
        </w:rPr>
        <w:t xml:space="preserve">                                                         388/1,</w:t>
      </w:r>
      <w:r>
        <w:rPr>
          <w:b/>
          <w:color w:val="000000"/>
        </w:rPr>
        <w:t xml:space="preserve">  </w:t>
      </w:r>
      <w:r>
        <w:rPr>
          <w:color w:val="000000"/>
        </w:rPr>
        <w:t>141/2,</w:t>
      </w:r>
      <w:r>
        <w:rPr>
          <w:b/>
          <w:color w:val="000000"/>
        </w:rPr>
        <w:t xml:space="preserve"> </w:t>
      </w:r>
      <w:r>
        <w:rPr>
          <w:color w:val="000000"/>
        </w:rPr>
        <w:t>obręb 0010 Głosków,</w:t>
      </w:r>
    </w:p>
    <w:p w:rsidR="0019676B" w:rsidRDefault="0019676B" w:rsidP="0019676B">
      <w:pPr>
        <w:ind w:left="1260" w:hanging="1260"/>
        <w:jc w:val="both"/>
      </w:pPr>
      <w:r>
        <w:rPr>
          <w:b/>
          <w:color w:val="000000"/>
        </w:rPr>
        <w:t xml:space="preserve">                                                         </w:t>
      </w:r>
      <w:r>
        <w:rPr>
          <w:color w:val="000000"/>
        </w:rPr>
        <w:t>jedn.</w:t>
      </w:r>
      <w:r>
        <w:t xml:space="preserve"> ew.  141804_5 Piaseczno- obszar wiejski</w:t>
      </w:r>
    </w:p>
    <w:p w:rsidR="0019676B" w:rsidRDefault="0019676B" w:rsidP="0019676B">
      <w:pPr>
        <w:pStyle w:val="Standard"/>
        <w:ind w:left="1260" w:hanging="1260"/>
        <w:jc w:val="both"/>
        <w:rPr>
          <w:b/>
        </w:rPr>
      </w:pPr>
    </w:p>
    <w:p w:rsidR="00EE14CC" w:rsidRDefault="00BC0732" w:rsidP="00AA5D9F">
      <w:pPr>
        <w:ind w:left="1260" w:hanging="1260"/>
        <w:jc w:val="both"/>
        <w:rPr>
          <w:rStyle w:val="Domylnaczcionkaakapitu2"/>
          <w:kern w:val="0"/>
        </w:rPr>
      </w:pPr>
      <w:r w:rsidRPr="002B72A7">
        <w:rPr>
          <w:rStyle w:val="Domylnaczcionkaakapitu2"/>
          <w:b/>
          <w:bCs/>
          <w:kern w:val="0"/>
        </w:rPr>
        <w:t xml:space="preserve">identyfikator działki: </w:t>
      </w:r>
      <w:r w:rsidR="006D3152">
        <w:rPr>
          <w:rStyle w:val="Domylnaczcionkaakapitu2"/>
          <w:kern w:val="0"/>
        </w:rPr>
        <w:t>141804_5.</w:t>
      </w:r>
      <w:r w:rsidR="0019676B">
        <w:rPr>
          <w:rStyle w:val="Domylnaczcionkaakapitu2"/>
          <w:kern w:val="0"/>
        </w:rPr>
        <w:t>0010.119/11, 141804_5.0010.119/10, 141804_5.0010.117/4</w:t>
      </w:r>
    </w:p>
    <w:p w:rsidR="0019676B" w:rsidRPr="002B72A7" w:rsidRDefault="0019676B" w:rsidP="00AA5D9F">
      <w:pPr>
        <w:ind w:left="1260" w:hanging="1260"/>
        <w:jc w:val="both"/>
      </w:pPr>
      <w:r w:rsidRPr="0019676B">
        <w:rPr>
          <w:rStyle w:val="Domylnaczcionkaakapitu2"/>
          <w:bCs/>
          <w:kern w:val="0"/>
        </w:rPr>
        <w:t>141804_5.</w:t>
      </w:r>
      <w:r w:rsidRPr="0019676B">
        <w:t>0010</w:t>
      </w:r>
      <w:r>
        <w:t>.119/67, 141804_5.0010.119/66, 141804_5.0010.388/</w:t>
      </w:r>
      <w:r w:rsidR="00865987">
        <w:t>1, 141804_5.0010.141/</w:t>
      </w:r>
      <w:r>
        <w:t>2</w:t>
      </w:r>
    </w:p>
    <w:p w:rsidR="00BC0732" w:rsidRPr="002B72A7" w:rsidRDefault="00BC0732">
      <w:pPr>
        <w:ind w:left="1260" w:hanging="1260"/>
        <w:jc w:val="both"/>
      </w:pPr>
      <w:r w:rsidRPr="002B72A7">
        <w:rPr>
          <w:rStyle w:val="Domylnaczcionkaakapitu2"/>
          <w:b/>
        </w:rPr>
        <w:t>kategorie obiektów:</w:t>
      </w:r>
      <w:r w:rsidR="0019676B">
        <w:rPr>
          <w:rStyle w:val="Domylnaczcionkaakapitu2"/>
          <w:b/>
        </w:rPr>
        <w:t xml:space="preserve"> </w:t>
      </w:r>
      <w:r w:rsidR="0019676B" w:rsidRPr="0019676B">
        <w:rPr>
          <w:rStyle w:val="Domylnaczcionkaakapitu2"/>
        </w:rPr>
        <w:t>XXX,</w:t>
      </w:r>
      <w:r w:rsidR="00AA5D9F" w:rsidRPr="0019676B">
        <w:rPr>
          <w:rStyle w:val="Domylnaczcionkaakapitu2"/>
        </w:rPr>
        <w:t xml:space="preserve"> XXV</w:t>
      </w:r>
      <w:r w:rsidR="0019676B" w:rsidRPr="0019676B">
        <w:rPr>
          <w:rStyle w:val="Domylnaczcionkaakapitu2"/>
        </w:rPr>
        <w:t>I,</w:t>
      </w:r>
      <w:r w:rsidR="0019676B">
        <w:rPr>
          <w:rStyle w:val="Domylnaczcionkaakapitu2"/>
        </w:rPr>
        <w:t xml:space="preserve"> </w:t>
      </w:r>
    </w:p>
    <w:p w:rsidR="00BC0732" w:rsidRPr="002B72A7" w:rsidRDefault="00BC0732">
      <w:pPr>
        <w:ind w:left="1300" w:hanging="1500"/>
        <w:jc w:val="both"/>
        <w:rPr>
          <w:b/>
        </w:rPr>
      </w:pPr>
    </w:p>
    <w:p w:rsidR="00BC0732" w:rsidRPr="002B72A7" w:rsidRDefault="00BC0732">
      <w:pPr>
        <w:jc w:val="both"/>
      </w:pPr>
      <w:r w:rsidRPr="002B72A7">
        <w:rPr>
          <w:rStyle w:val="Domylnaczcionkaakapitu2"/>
          <w:b/>
        </w:rPr>
        <w:t>projektant:</w:t>
      </w:r>
    </w:p>
    <w:p w:rsidR="0019676B" w:rsidRDefault="00AA5D9F" w:rsidP="002551CC">
      <w:pPr>
        <w:pStyle w:val="Standard"/>
        <w:jc w:val="both"/>
        <w:rPr>
          <w:b/>
        </w:rPr>
      </w:pPr>
      <w:r>
        <w:rPr>
          <w:b/>
        </w:rPr>
        <w:t>-</w:t>
      </w:r>
      <w:r w:rsidR="0019676B">
        <w:rPr>
          <w:b/>
        </w:rPr>
        <w:t xml:space="preserve">mgr inż. arch. Agnieszka Siuda </w:t>
      </w:r>
      <w:r w:rsidR="0019676B">
        <w:t xml:space="preserve">posiadająca uprawnienia budowlane nr ew. 17/R-32/ŁOIA/08 w specjalności architektonicznej. Członek Łódzkiej Okręgowej Izby </w:t>
      </w:r>
      <w:r>
        <w:rPr>
          <w:b/>
        </w:rPr>
        <w:t xml:space="preserve"> </w:t>
      </w:r>
      <w:r w:rsidR="0019676B">
        <w:rPr>
          <w:b/>
        </w:rPr>
        <w:t xml:space="preserve">Architektów RP </w:t>
      </w:r>
      <w:r w:rsidR="0019676B" w:rsidRPr="0019676B">
        <w:t>nr ew</w:t>
      </w:r>
      <w:r w:rsidR="0019676B">
        <w:rPr>
          <w:b/>
        </w:rPr>
        <w:t xml:space="preserve">. </w:t>
      </w:r>
      <w:r w:rsidR="0019676B" w:rsidRPr="006B484C">
        <w:t>LO-0603</w:t>
      </w:r>
      <w:r w:rsidR="006B484C" w:rsidRPr="006B484C">
        <w:t>- branża architektoniczna;</w:t>
      </w:r>
    </w:p>
    <w:p w:rsidR="0019676B" w:rsidRDefault="0019676B" w:rsidP="002551CC">
      <w:pPr>
        <w:pStyle w:val="Standard"/>
        <w:jc w:val="both"/>
      </w:pPr>
      <w:r>
        <w:rPr>
          <w:b/>
        </w:rPr>
        <w:t xml:space="preserve">- mgr inż. Mariusz Nowik </w:t>
      </w:r>
      <w:r w:rsidRPr="006B484C">
        <w:t xml:space="preserve">posiadający uprawnienia budowlane nr ew. MAZ/0092/POOK/08 w </w:t>
      </w:r>
      <w:r w:rsidR="006B484C" w:rsidRPr="006B484C">
        <w:t>specjalności konstrukcyjno-budowlanej</w:t>
      </w:r>
      <w:r w:rsidR="006B484C">
        <w:t>. Członek Mazowieckiej Okręgowej Izby Inżynierów Budownictwa nr ew. MAZ/BO/0646/08- branża konstrukcyjna;</w:t>
      </w:r>
    </w:p>
    <w:p w:rsidR="006B484C" w:rsidRPr="006B484C" w:rsidRDefault="006B484C" w:rsidP="002551CC">
      <w:pPr>
        <w:pStyle w:val="Standard"/>
        <w:jc w:val="both"/>
      </w:pPr>
      <w:r>
        <w:t xml:space="preserve">- </w:t>
      </w:r>
      <w:r w:rsidRPr="002B2AFD">
        <w:rPr>
          <w:b/>
        </w:rPr>
        <w:t>Andrzej Białecki</w:t>
      </w:r>
      <w:r>
        <w:t xml:space="preserve"> posiadający uprawnienia budowlane nr ew. St-523/85 i Wa-357/92 w specjalności </w:t>
      </w:r>
      <w:r w:rsidR="002B2AFD">
        <w:t>instalacyjno-inżynieryjnej w zakresie sieci sanitarnych. Członek Mazowieckiej Okręgowej Izby Inżynierów budownictwa nr ew. MAZ/IS/0886/01 – branża sanitarna;</w:t>
      </w:r>
    </w:p>
    <w:p w:rsidR="002B2AFD" w:rsidRDefault="002B2AFD" w:rsidP="002551CC">
      <w:pPr>
        <w:pStyle w:val="Standard"/>
        <w:jc w:val="both"/>
      </w:pPr>
      <w:r>
        <w:rPr>
          <w:b/>
        </w:rPr>
        <w:t xml:space="preserve">- mgr inż. Krzysztof Mikulski </w:t>
      </w:r>
      <w:r>
        <w:t xml:space="preserve">posiadający uprawnienia budowlane nr ew. MAZ/0586/POOE/12 w specjalności instalacyjnej w zakresie sieci, instalacji i urządzeń elektrycznych i elektroenergetycznych. Członek </w:t>
      </w:r>
      <w:r w:rsidR="007A1B2C">
        <w:t>Mazowieckiej Okręgowej Izby Inżynierów Budownictwa nr ew. MAZ/IE/0186/13- branża elektryczna;</w:t>
      </w:r>
    </w:p>
    <w:p w:rsidR="007A1B2C" w:rsidRPr="002B2AFD" w:rsidRDefault="007A1B2C" w:rsidP="002551CC">
      <w:pPr>
        <w:pStyle w:val="Standard"/>
        <w:jc w:val="both"/>
      </w:pPr>
      <w:r>
        <w:t xml:space="preserve">- </w:t>
      </w:r>
      <w:r w:rsidRPr="007A1B2C">
        <w:rPr>
          <w:b/>
        </w:rPr>
        <w:t>inż. Paweł Mikulski</w:t>
      </w:r>
      <w:r>
        <w:t xml:space="preserve"> posiadający uprawnienia budowlane nr ew. St-227/84 w specjalności instalacyjno-inżynieryjnej . Członek Mazowieckiej Okręgowej Izby Inżynierów Budownictwa nr ew. MAZ/IE/0372/02- branża teletechniczna;</w:t>
      </w:r>
    </w:p>
    <w:p w:rsidR="002551CC" w:rsidRDefault="0019676B" w:rsidP="002551CC">
      <w:pPr>
        <w:pStyle w:val="Standard"/>
        <w:jc w:val="both"/>
      </w:pPr>
      <w:r>
        <w:rPr>
          <w:b/>
        </w:rPr>
        <w:t>-</w:t>
      </w:r>
      <w:r w:rsidR="00AA5D9F">
        <w:rPr>
          <w:b/>
        </w:rPr>
        <w:t>inż. Robert Szczepanik</w:t>
      </w:r>
      <w:r w:rsidR="002551CC">
        <w:t xml:space="preserve"> posiadający </w:t>
      </w:r>
      <w:r w:rsidR="002551CC">
        <w:rPr>
          <w:bCs/>
        </w:rPr>
        <w:t>uprawnienia budowlane nr ew.</w:t>
      </w:r>
      <w:r w:rsidR="00AA5D9F">
        <w:rPr>
          <w:bCs/>
        </w:rPr>
        <w:t xml:space="preserve"> MAZ/0279/POOD/04</w:t>
      </w:r>
      <w:r w:rsidR="00EE14CC">
        <w:rPr>
          <w:bCs/>
        </w:rPr>
        <w:t>, w specjalności</w:t>
      </w:r>
      <w:r w:rsidR="00AA5D9F">
        <w:rPr>
          <w:bCs/>
        </w:rPr>
        <w:t xml:space="preserve"> drogowej</w:t>
      </w:r>
      <w:r w:rsidR="002551CC">
        <w:rPr>
          <w:bCs/>
        </w:rPr>
        <w:t>. C</w:t>
      </w:r>
      <w:r w:rsidR="00EE14CC">
        <w:t>złonek Mazowieckiej</w:t>
      </w:r>
      <w:r w:rsidR="002551CC">
        <w:t xml:space="preserve"> Okręgowej Izby Inżynierów Budownictwa nr ew.</w:t>
      </w:r>
      <w:r w:rsidR="00AA5D9F">
        <w:t xml:space="preserve"> MAZ/BD/0065/05– branża drogowa</w:t>
      </w:r>
      <w:r w:rsidR="00364EA5">
        <w:t>;</w:t>
      </w:r>
    </w:p>
    <w:p w:rsidR="00364EA5" w:rsidRDefault="00364EA5" w:rsidP="002551CC">
      <w:pPr>
        <w:pStyle w:val="Standard"/>
        <w:jc w:val="both"/>
      </w:pPr>
    </w:p>
    <w:p w:rsidR="00C87939" w:rsidRDefault="00C87939" w:rsidP="00C87939">
      <w:pPr>
        <w:pStyle w:val="Standard"/>
        <w:jc w:val="both"/>
      </w:pPr>
      <w:r>
        <w:t xml:space="preserve">Informuję, że ustawa – Prawo budowlane, zobowiązuje inwestora przed rozpoczęciem robót budowlanych: </w:t>
      </w:r>
    </w:p>
    <w:p w:rsidR="00C87939" w:rsidRDefault="00C87939" w:rsidP="00C87939">
      <w:pPr>
        <w:pStyle w:val="Standard"/>
        <w:numPr>
          <w:ilvl w:val="0"/>
          <w:numId w:val="28"/>
        </w:numPr>
        <w:ind w:left="0"/>
        <w:jc w:val="both"/>
      </w:pPr>
      <w:r>
        <w:t xml:space="preserve">zgodnie z art. 41 ust. 4, zawiadomić organ nadzoru budowlanego oraz projektanta sprawującego nadzór nad zgodnością realizacji budowy z projektem, o zamierzonym terminie rozpoczęcia robót budowlanych, dla których wymagane jest uzyskanie decyzji o pozwoleniu na budowę, </w:t>
      </w:r>
    </w:p>
    <w:p w:rsidR="00C87939" w:rsidRDefault="00C87939" w:rsidP="00C87939">
      <w:pPr>
        <w:pStyle w:val="Standard"/>
        <w:numPr>
          <w:ilvl w:val="0"/>
          <w:numId w:val="28"/>
        </w:numPr>
        <w:ind w:left="0"/>
        <w:jc w:val="both"/>
      </w:pPr>
      <w:r>
        <w:t xml:space="preserve">zgodnie z art.  42: </w:t>
      </w:r>
    </w:p>
    <w:p w:rsidR="00C87939" w:rsidRDefault="00C87939" w:rsidP="00C87939">
      <w:pPr>
        <w:pStyle w:val="Standard"/>
        <w:jc w:val="both"/>
      </w:pPr>
      <w:r>
        <w:t xml:space="preserve">1) zapewnić sporządzenie projektu technicznego, z zastrzeżeniem art. 34 ust. 3b, </w:t>
      </w:r>
    </w:p>
    <w:p w:rsidR="00C87939" w:rsidRDefault="00C87939" w:rsidP="00C87939">
      <w:pPr>
        <w:pStyle w:val="Standard"/>
        <w:jc w:val="both"/>
      </w:pPr>
      <w:r>
        <w:t xml:space="preserve">2) ustanowić kierownika budowy, </w:t>
      </w:r>
    </w:p>
    <w:p w:rsidR="00C87939" w:rsidRDefault="00C87939" w:rsidP="00C87939">
      <w:pPr>
        <w:pStyle w:val="Standard"/>
        <w:jc w:val="both"/>
      </w:pPr>
      <w:r>
        <w:t xml:space="preserve">3) ustanowić inspektora nadzoru inwestorskiego, w wypadku, gdy taki obowiązek wynika z niniejszej decyzji  </w:t>
      </w:r>
    </w:p>
    <w:p w:rsidR="00C87939" w:rsidRDefault="00C87939" w:rsidP="00C87939">
      <w:pPr>
        <w:pStyle w:val="Standard"/>
        <w:jc w:val="both"/>
      </w:pPr>
      <w:r>
        <w:t>4) przekazać kierownikowi budowy projekt budowlany, w tym projekt techniczny, o ile jest wymagany;</w:t>
      </w:r>
    </w:p>
    <w:p w:rsidR="00C87939" w:rsidRDefault="00C87939" w:rsidP="00C87939">
      <w:pPr>
        <w:pStyle w:val="Akapitzlist"/>
        <w:widowControl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N w:val="0"/>
        <w:ind w:left="0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>
        <w:rPr>
          <w:rFonts w:ascii="Times New Roman" w:eastAsia="Times New Roman" w:hAnsi="Times New Roman" w:cs="Times New Roman"/>
          <w:kern w:val="0"/>
          <w:lang w:eastAsia="pl-PL" w:bidi="ar-SA"/>
        </w:rPr>
        <w:t>zgodnie z art. 45 ust. 4: wystąpić do organu architektoniczno-budowlanego, w celu:</w:t>
      </w:r>
    </w:p>
    <w:p w:rsidR="00C87939" w:rsidRDefault="00C87939" w:rsidP="00C87939">
      <w:pPr>
        <w:suppressAutoHyphens w:val="0"/>
        <w:textAlignment w:val="auto"/>
        <w:rPr>
          <w:kern w:val="0"/>
          <w:lang w:eastAsia="pl-PL"/>
        </w:rPr>
      </w:pPr>
      <w:r>
        <w:rPr>
          <w:kern w:val="0"/>
          <w:lang w:eastAsia="pl-PL"/>
        </w:rPr>
        <w:t>1) ostemplowania przedłożonego dziennika budowy albo</w:t>
      </w:r>
    </w:p>
    <w:p w:rsidR="00C87939" w:rsidRDefault="00C87939" w:rsidP="00C87939">
      <w:pPr>
        <w:suppressAutoHyphens w:val="0"/>
        <w:textAlignment w:val="auto"/>
        <w:rPr>
          <w:kern w:val="0"/>
          <w:lang w:eastAsia="pl-PL"/>
        </w:rPr>
      </w:pPr>
      <w:r>
        <w:rPr>
          <w:kern w:val="0"/>
          <w:lang w:eastAsia="pl-PL"/>
        </w:rPr>
        <w:t>2) wydania i ostemplowania dziennika budowy.</w:t>
      </w:r>
    </w:p>
    <w:p w:rsidR="00C87939" w:rsidRPr="00360746" w:rsidRDefault="00C87939" w:rsidP="00C87939">
      <w:pPr>
        <w:suppressAutoHyphens w:val="0"/>
        <w:textAlignment w:val="auto"/>
        <w:rPr>
          <w:kern w:val="0"/>
          <w:lang w:eastAsia="pl-PL"/>
        </w:rPr>
      </w:pPr>
    </w:p>
    <w:p w:rsidR="00C87939" w:rsidRDefault="00C87939" w:rsidP="00C87939">
      <w:pPr>
        <w:pStyle w:val="Standard"/>
        <w:jc w:val="both"/>
        <w:rPr>
          <w:b/>
        </w:rPr>
      </w:pPr>
      <w:r>
        <w:rPr>
          <w:b/>
        </w:rPr>
        <w:t xml:space="preserve">Zgodnie z art.  36.  Ustawy – Prawo budowlane, </w:t>
      </w:r>
    </w:p>
    <w:p w:rsidR="00C87939" w:rsidRDefault="00C87939" w:rsidP="00C87939">
      <w:pPr>
        <w:pStyle w:val="Standard"/>
        <w:numPr>
          <w:ilvl w:val="0"/>
          <w:numId w:val="30"/>
        </w:numPr>
        <w:jc w:val="both"/>
      </w:pPr>
      <w:r>
        <w:lastRenderedPageBreak/>
        <w:t>określam szczególne warunki zabezpieczenia terenu budowy i prowadzenia robót budowlanych:</w:t>
      </w:r>
    </w:p>
    <w:p w:rsidR="00C87939" w:rsidRDefault="00C87939" w:rsidP="00C87939">
      <w:pPr>
        <w:pStyle w:val="Standard"/>
        <w:numPr>
          <w:ilvl w:val="0"/>
          <w:numId w:val="31"/>
        </w:numPr>
        <w:ind w:left="0"/>
        <w:jc w:val="both"/>
      </w:pPr>
      <w:r>
        <w:t>zgodnie z art. 43 ust. 1 pkt 1 ustawy – Prawo budowlane, obiekty budowlane podlegają geodezyjnemu wyznaczeniu w terenie, a po wybudowaniu – geodezyjnej inwentaryzacji powykonawczej.</w:t>
      </w:r>
      <w:r>
        <w:rPr>
          <w:i/>
        </w:rPr>
        <w:t xml:space="preserve"> </w:t>
      </w:r>
    </w:p>
    <w:p w:rsidR="00C87939" w:rsidRDefault="00C87939" w:rsidP="00C87939">
      <w:pPr>
        <w:pStyle w:val="Akapitzlist"/>
        <w:numPr>
          <w:ilvl w:val="0"/>
          <w:numId w:val="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autoSpaceDN w:val="0"/>
        <w:ind w:left="0"/>
        <w:jc w:val="both"/>
      </w:pPr>
      <w:r>
        <w:t>zgodnie z art. 45 ust. 7 ustawy – Prawo budowlane, przed rozpoczęciem robót budowlanych należy dokonać w dzienniku budowy wpisu osób, które pełnią funkcje kierownika budowy i inspektora nadzoru inwestorskiego. Osoby te są obowiązane potwierdzić podpisem przyjęcie powierzonych im funkcji.</w:t>
      </w:r>
    </w:p>
    <w:p w:rsidR="00C87939" w:rsidRDefault="00C87939" w:rsidP="00C87939">
      <w:pPr>
        <w:pStyle w:val="Akapitzlist"/>
        <w:numPr>
          <w:ilvl w:val="0"/>
          <w:numId w:val="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autoSpaceDN w:val="0"/>
        <w:ind w:left="0"/>
        <w:jc w:val="both"/>
        <w:rPr>
          <w:rFonts w:ascii="Times New Roman" w:eastAsia="Times New Roman" w:hAnsi="Times New Roman" w:cs="Times New Roman"/>
          <w:szCs w:val="24"/>
          <w:lang w:bidi="ar-SA"/>
        </w:rPr>
      </w:pPr>
      <w:r>
        <w:rPr>
          <w:rFonts w:ascii="Times New Roman" w:eastAsia="Times New Roman" w:hAnsi="Times New Roman" w:cs="Times New Roman"/>
          <w:szCs w:val="24"/>
          <w:lang w:bidi="ar-SA"/>
        </w:rPr>
        <w:t>zgodnie z art. 45 a ustawy Prawo budowlane, przed rozpoczęciem budowy kierownik budowy jest obowiązany:</w:t>
      </w:r>
    </w:p>
    <w:p w:rsidR="00C87939" w:rsidRDefault="00C87939" w:rsidP="00C87939">
      <w:pPr>
        <w:pStyle w:val="Akapitzlist"/>
        <w:ind w:left="0"/>
        <w:jc w:val="both"/>
        <w:rPr>
          <w:rFonts w:ascii="Times New Roman" w:eastAsia="Times New Roman" w:hAnsi="Times New Roman" w:cs="Times New Roman"/>
          <w:szCs w:val="24"/>
          <w:lang w:bidi="ar-SA"/>
        </w:rPr>
      </w:pPr>
      <w:r>
        <w:rPr>
          <w:rFonts w:ascii="Times New Roman" w:eastAsia="Times New Roman" w:hAnsi="Times New Roman" w:cs="Times New Roman"/>
          <w:szCs w:val="24"/>
          <w:lang w:bidi="ar-SA"/>
        </w:rPr>
        <w:t>1) zabezpieczyć teren budowy;</w:t>
      </w:r>
    </w:p>
    <w:p w:rsidR="00C87939" w:rsidRDefault="00C87939" w:rsidP="00C87939">
      <w:pPr>
        <w:pStyle w:val="Akapitzlist"/>
        <w:ind w:left="0"/>
        <w:jc w:val="both"/>
        <w:rPr>
          <w:rFonts w:ascii="Times New Roman" w:eastAsia="Times New Roman" w:hAnsi="Times New Roman" w:cs="Times New Roman"/>
          <w:szCs w:val="24"/>
          <w:lang w:bidi="ar-SA"/>
        </w:rPr>
      </w:pPr>
      <w:r>
        <w:rPr>
          <w:rFonts w:ascii="Times New Roman" w:eastAsia="Times New Roman" w:hAnsi="Times New Roman" w:cs="Times New Roman"/>
          <w:szCs w:val="24"/>
          <w:lang w:bidi="ar-SA"/>
        </w:rPr>
        <w:t>2) potwierdzić wpisem w dzienniku budowy otrzymanie od inwestora zatwierdzonego projektu budowlanego oraz, o ile jest wymagany – projektu technicznego;</w:t>
      </w:r>
    </w:p>
    <w:p w:rsidR="00C87939" w:rsidRDefault="00C87939" w:rsidP="00C87939">
      <w:pPr>
        <w:pStyle w:val="Akapitzlist"/>
        <w:ind w:left="0"/>
        <w:jc w:val="both"/>
        <w:rPr>
          <w:rFonts w:ascii="Times New Roman" w:eastAsia="Times New Roman" w:hAnsi="Times New Roman" w:cs="Times New Roman"/>
          <w:szCs w:val="24"/>
          <w:lang w:bidi="ar-SA"/>
        </w:rPr>
      </w:pPr>
      <w:r>
        <w:rPr>
          <w:rFonts w:ascii="Times New Roman" w:eastAsia="Times New Roman" w:hAnsi="Times New Roman" w:cs="Times New Roman"/>
          <w:szCs w:val="24"/>
          <w:lang w:bidi="ar-SA"/>
        </w:rPr>
        <w:t>3) umieścić na terenie budowy, w widocznym miejscu:</w:t>
      </w:r>
    </w:p>
    <w:p w:rsidR="00C87939" w:rsidRDefault="00C87939" w:rsidP="00C87939">
      <w:pPr>
        <w:pStyle w:val="Akapitzlist"/>
        <w:ind w:left="0"/>
        <w:jc w:val="both"/>
        <w:rPr>
          <w:rFonts w:ascii="Times New Roman" w:eastAsia="Times New Roman" w:hAnsi="Times New Roman" w:cs="Times New Roman"/>
          <w:szCs w:val="24"/>
          <w:lang w:bidi="ar-SA"/>
        </w:rPr>
      </w:pPr>
      <w:r>
        <w:rPr>
          <w:rFonts w:ascii="Times New Roman" w:eastAsia="Times New Roman" w:hAnsi="Times New Roman" w:cs="Times New Roman"/>
          <w:szCs w:val="24"/>
          <w:lang w:bidi="ar-SA"/>
        </w:rPr>
        <w:t>a) tablicę informacyjną oraz</w:t>
      </w:r>
    </w:p>
    <w:p w:rsidR="00C87939" w:rsidRDefault="00C87939" w:rsidP="00C87939">
      <w:pPr>
        <w:pStyle w:val="Akapitzlist"/>
        <w:ind w:left="0"/>
        <w:jc w:val="both"/>
        <w:rPr>
          <w:rFonts w:ascii="Times New Roman" w:eastAsia="Times New Roman" w:hAnsi="Times New Roman" w:cs="Times New Roman"/>
          <w:szCs w:val="24"/>
          <w:lang w:bidi="ar-SA"/>
        </w:rPr>
      </w:pPr>
      <w:r>
        <w:rPr>
          <w:rFonts w:ascii="Times New Roman" w:eastAsia="Times New Roman" w:hAnsi="Times New Roman" w:cs="Times New Roman"/>
          <w:szCs w:val="24"/>
          <w:lang w:bidi="ar-SA"/>
        </w:rPr>
        <w:t>b) ogłoszenie zawierające dane dotyczące bezpieczeństwa pracy i ochrony zdrowia – w przypadku budowy, na której przewiduje się prowadzenie robót budowlanych trwających dłużej niż 30 dni roboczych i jednoczesne zatrudnienie co najmniej 20 pracowników lub przewidywany zakres robót budowlanych przekracza 500 osobodni.</w:t>
      </w:r>
    </w:p>
    <w:p w:rsidR="00C87939" w:rsidRDefault="00C87939" w:rsidP="00C87939">
      <w:pPr>
        <w:pStyle w:val="Akapitzlist"/>
        <w:numPr>
          <w:ilvl w:val="0"/>
          <w:numId w:val="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autoSpaceDN w:val="0"/>
        <w:ind w:left="0"/>
        <w:jc w:val="both"/>
      </w:pPr>
      <w:r>
        <w:rPr>
          <w:szCs w:val="24"/>
        </w:rPr>
        <w:t xml:space="preserve">zgodnie z art. 46 ustawy – Prawo budowlane, kierownik budowy (rozbiórki), jest obowiązany przez okres wykonywania robót budowlanych przechowywać dokumenty stanowiące podstawę ich wykonania, a także oświadczenie dotyczące </w:t>
      </w:r>
      <w:r>
        <w:rPr>
          <w:i/>
          <w:iCs/>
          <w:szCs w:val="24"/>
        </w:rPr>
        <w:t>wyrobów budowlanych</w:t>
      </w:r>
      <w:r>
        <w:rPr>
          <w:szCs w:val="24"/>
        </w:rPr>
        <w:t xml:space="preserve"> jednostkowo zastosowanych w obiekcie budowlanym, o których mowa w art. 10 ust. 1 ustawy z dnia 16 kwietnia 2004 r. o </w:t>
      </w:r>
      <w:r>
        <w:rPr>
          <w:i/>
          <w:iCs/>
          <w:szCs w:val="24"/>
        </w:rPr>
        <w:t>wyrobach budowlanych</w:t>
      </w:r>
      <w:r>
        <w:rPr>
          <w:szCs w:val="24"/>
        </w:rPr>
        <w:t>, oraz udostępniać te dokumenty przedstawicielom uprawnionych organów.</w:t>
      </w:r>
    </w:p>
    <w:p w:rsidR="00C87939" w:rsidRDefault="00C87939" w:rsidP="00C87939">
      <w:pPr>
        <w:pStyle w:val="Standard"/>
        <w:numPr>
          <w:ilvl w:val="0"/>
          <w:numId w:val="31"/>
        </w:numPr>
        <w:ind w:left="0"/>
        <w:jc w:val="both"/>
      </w:pPr>
      <w:r>
        <w:t xml:space="preserve">roboty budowlane wykonywane w miejscach kolizji lub zbliżeń budowanego obiektu z podziemnym uzbrojeniem terenu należy wykonywać ręcznie i ze szczególną ostrożnością pod nadzorem inspektorów właściwych służb. </w:t>
      </w:r>
    </w:p>
    <w:p w:rsidR="00C87939" w:rsidRDefault="00C87939" w:rsidP="00C87939">
      <w:pPr>
        <w:pStyle w:val="Standard"/>
        <w:jc w:val="both"/>
      </w:pPr>
      <w:r>
        <w:t>Roboty należy realizować zgodnie z dokumentacją budowy, z zachowaniem warunków nałożonych przez uzyskane opinie, uzgodnienia i pozwolenia oraz w sposób zapewniający bezpieczeństwo ludzi i mienia, oraz ochronę środowiska,</w:t>
      </w:r>
    </w:p>
    <w:p w:rsidR="00C87939" w:rsidRDefault="00C87939" w:rsidP="00C87939">
      <w:pPr>
        <w:pStyle w:val="Akapitzlist"/>
        <w:widowControl/>
        <w:numPr>
          <w:ilvl w:val="0"/>
          <w:numId w:val="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autoSpaceDN w:val="0"/>
        <w:ind w:left="0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lang w:eastAsia="pl-PL" w:bidi="ar-SA"/>
        </w:rPr>
        <w:t>zgodnie z art.  75 ustawy z dnia 27 kwietnia 2001 r. Prawo ochrony środowiska, określam, że w trakcie prac budowlanych inwestor realizujący przedsięwzięcie jest obowiązany uwzględnić ochronę środowiska na obszarze prowadzenia prac, a w szczególności ochronę gleby, zieleni, naturalnego ukształtowania terenu i stosunków wodnych. Obowiązek właściwego zabezpieczenia elementów środowiska przyrodniczego, w tym gleby próchnicznej oraz istniejących drzew i krzewów, spoczywa na wykonawcy robót</w:t>
      </w:r>
      <w:r>
        <w:rPr>
          <w:rFonts w:ascii="Times New Roman" w:eastAsia="Times New Roman" w:hAnsi="Times New Roman" w:cs="Times New Roman"/>
          <w:color w:val="FF0000"/>
          <w:kern w:val="0"/>
          <w:lang w:eastAsia="pl-PL" w:bidi="ar-SA"/>
        </w:rPr>
        <w:t xml:space="preserve">. </w:t>
      </w:r>
      <w:r>
        <w:rPr>
          <w:rFonts w:ascii="Times New Roman" w:eastAsia="Times New Roman" w:hAnsi="Times New Roman" w:cs="Times New Roman"/>
          <w:kern w:val="0"/>
          <w:lang w:eastAsia="pl-PL" w:bidi="ar-SA"/>
        </w:rPr>
        <w:t xml:space="preserve">Jeżeli ochrona elementów przyrodniczych nie jest możliwa, należy podejmować działania mające na celu naprawienie wyrządzonych szkód, w szczególności przez kompensację przyrodniczą, którą rozumie się jako: zespół działań obejmujących w szczególności roboty budowlane, roboty ziemne, rekultywację gleby, zalesianie, zadrzewianie lub tworzenie skupień roślinności, prowadzących do przywrócenia równowagi przyrodniczej na danym terenie, wyrównania szkód dokonanych w środowisku przez realizację przedsięwzięcia i zachowanie walorów krajobrazowych. </w:t>
      </w:r>
    </w:p>
    <w:p w:rsidR="00C87939" w:rsidRDefault="00C87939" w:rsidP="00C87939">
      <w:pPr>
        <w:pStyle w:val="Akapitzlist"/>
        <w:widowControl/>
        <w:ind w:left="0"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>
        <w:rPr>
          <w:rFonts w:ascii="Times New Roman" w:eastAsia="Times New Roman" w:hAnsi="Times New Roman" w:cs="Times New Roman"/>
          <w:kern w:val="0"/>
          <w:lang w:eastAsia="pl-PL" w:bidi="ar-SA"/>
        </w:rPr>
        <w:t>Ponadto przypominam, że zgodnie z art. 75 ust. 2 ww. ustawy: „Przy prowadzeniu prac budowlanych dopuszcza się wykorzystywanie i przekształcanie elementów przyrodniczych wyłącznie w takim zakresie, w jakim jest to konieczne w związku z realizacją konkretnej inwestycji.”</w:t>
      </w:r>
    </w:p>
    <w:p w:rsidR="00C87939" w:rsidRDefault="00C87939" w:rsidP="00C87939">
      <w:pPr>
        <w:tabs>
          <w:tab w:val="left" w:pos="-16598"/>
        </w:tabs>
        <w:overflowPunct w:val="0"/>
        <w:autoSpaceDE w:val="0"/>
        <w:jc w:val="both"/>
        <w:rPr>
          <w:kern w:val="0"/>
          <w:lang w:eastAsia="pl-PL"/>
        </w:rPr>
      </w:pPr>
      <w:r w:rsidRPr="005C1DE9">
        <w:rPr>
          <w:kern w:val="0"/>
          <w:lang w:eastAsia="pl-PL"/>
        </w:rPr>
        <w:lastRenderedPageBreak/>
        <w:t xml:space="preserve">Przystępując do robót budowlanych należy pamiętać o przepisach chroniących prawa zwierząt, a w szczególności rozporządzenie Ministra  Środowiska z dnia 16 grudnia 2016 r. w sprawie ochrony gatunkowej zwierząt, które w § 6 ust. 1 zakazuje m.in. „niszczenia siedlisk lub ostoi, będących ich obszarem rozrodu, wychowu młodych, odpoczynku migracji lub żerowania.” </w:t>
      </w:r>
    </w:p>
    <w:p w:rsidR="00C87939" w:rsidRDefault="00C87939" w:rsidP="00C87939">
      <w:pPr>
        <w:tabs>
          <w:tab w:val="left" w:pos="-16598"/>
        </w:tabs>
        <w:overflowPunct w:val="0"/>
        <w:autoSpaceDE w:val="0"/>
        <w:jc w:val="both"/>
        <w:rPr>
          <w:kern w:val="0"/>
          <w:lang w:eastAsia="pl-PL"/>
        </w:rPr>
      </w:pPr>
    </w:p>
    <w:p w:rsidR="00C87939" w:rsidRPr="00936453" w:rsidRDefault="00C87939" w:rsidP="00C87939">
      <w:pPr>
        <w:tabs>
          <w:tab w:val="left" w:pos="-16598"/>
        </w:tabs>
        <w:overflowPunct w:val="0"/>
        <w:autoSpaceDE w:val="0"/>
        <w:jc w:val="both"/>
      </w:pPr>
      <w:r w:rsidRPr="00936453">
        <w:rPr>
          <w:kern w:val="0"/>
          <w:lang w:eastAsia="pl-PL"/>
        </w:rPr>
        <w:t>Zgodnie z art. 93 ust. 3 ustawy z dnia 3 października 2008 r. o udostępnianiu informacji o środowisku i jego ochronie, udziale społeczeństwa w ochronie środowiska oraz o ocenach oddziaływania na środowisko,</w:t>
      </w:r>
      <w:r w:rsidRPr="00936453">
        <w:t xml:space="preserve"> organ nie nakłada dodatkowych obowiązków, a jedynie przypomina o wykonaniu wszystkich obowiązków nałożonych decyzją o środowiskowych uwarunkowaniach, oraz o uwzględnieniu w projekcie technicznym projektu nasadzeń kompensacyjnych, o jakich mowa w analizie</w:t>
      </w:r>
      <w:r>
        <w:t xml:space="preserve"> </w:t>
      </w:r>
      <w:r w:rsidRPr="00936453">
        <w:t>dot. wpływu inwestycji na istniejący drzewostan</w:t>
      </w:r>
      <w:r>
        <w:t>,</w:t>
      </w:r>
      <w:r w:rsidRPr="00936453">
        <w:t xml:space="preserve"> </w:t>
      </w:r>
      <w:r>
        <w:t xml:space="preserve">znajdującej się </w:t>
      </w:r>
      <w:r w:rsidRPr="00936453">
        <w:t xml:space="preserve">w pkt 2.15 </w:t>
      </w:r>
      <w:r>
        <w:t>projektu</w:t>
      </w:r>
      <w:r w:rsidRPr="00936453">
        <w:t xml:space="preserve"> architektoniczno-</w:t>
      </w:r>
      <w:r>
        <w:t>budowlanego.</w:t>
      </w:r>
    </w:p>
    <w:p w:rsidR="00C87939" w:rsidRDefault="00C87939" w:rsidP="00C87939">
      <w:pPr>
        <w:tabs>
          <w:tab w:val="left" w:pos="-16598"/>
        </w:tabs>
        <w:overflowPunct w:val="0"/>
        <w:autoSpaceDE w:val="0"/>
        <w:jc w:val="both"/>
        <w:rPr>
          <w:kern w:val="0"/>
          <w:lang w:eastAsia="pl-PL"/>
        </w:rPr>
      </w:pPr>
    </w:p>
    <w:p w:rsidR="00C87939" w:rsidRDefault="00C87939" w:rsidP="00C87939">
      <w:pPr>
        <w:pStyle w:val="Akapitzlist"/>
        <w:widowControl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autoSpaceDN w:val="0"/>
        <w:ind w:left="284"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>
        <w:t>określam szczegółowe wymagania dotyczące nadzoru na budowie:</w:t>
      </w:r>
    </w:p>
    <w:p w:rsidR="00C87939" w:rsidRDefault="00C87939" w:rsidP="00C87939">
      <w:pPr>
        <w:pStyle w:val="Standard"/>
        <w:numPr>
          <w:ilvl w:val="0"/>
          <w:numId w:val="33"/>
        </w:numPr>
        <w:ind w:left="0"/>
        <w:jc w:val="both"/>
      </w:pPr>
      <w:r>
        <w:t>Inwestor jest obowiązany zapewnić objęcie kierownictwa budowy lub określonych robót budowlanych oraz nadzór nad robotami przez osobę posiadającą uprawnienia budowlane w odpowiedniej specjalności i spełniającą wymóg art. 12 ust. 7 ustawy Prawo budowlane, zgodnie z art. 42 ust. 1 ustawy – Prawo budowlane;</w:t>
      </w:r>
    </w:p>
    <w:p w:rsidR="00C87939" w:rsidRDefault="00C87939" w:rsidP="00C87939">
      <w:pPr>
        <w:pStyle w:val="Standard"/>
        <w:numPr>
          <w:ilvl w:val="0"/>
          <w:numId w:val="33"/>
        </w:numPr>
        <w:ind w:left="0" w:hanging="284"/>
        <w:jc w:val="both"/>
      </w:pPr>
      <w:r>
        <w:t>na podstawie § 2 ust. 1 pkt 1 rozporządzenia  Ministra Infrastruktury z dnia 19 listopada 2001 r., w sprawie rodzajów obiektów budowlanych, przy których realizacji jest wymagane ustanowienie inspektora nadzoru inwestorskiego (Dz. U. nr 138, poz. 1554), nakładam na inwestora obowiązek ustanowienia inspektora nadzoru inwestorskiego nad wykonawstwem robót w zakresie ustalonym w projekcie budowlanym, zatwierdzonym niniejsza decyzją, posiadającego uprawnienia budowlane w odpowiedniej  specjalności</w:t>
      </w:r>
      <w:r>
        <w:rPr>
          <w:color w:val="C00000"/>
        </w:rPr>
        <w:t xml:space="preserve">, </w:t>
      </w:r>
      <w:r>
        <w:t>zgodnie z art. 36 ust 1 pkt 4 w powiązaniu z art. 19 ust. 1 ustawy Prawo budowlane;</w:t>
      </w:r>
      <w:r>
        <w:rPr>
          <w:color w:val="70AD47"/>
        </w:rPr>
        <w:t xml:space="preserve"> </w:t>
      </w:r>
    </w:p>
    <w:p w:rsidR="00C87939" w:rsidRDefault="00C87939" w:rsidP="00C87939">
      <w:pPr>
        <w:pStyle w:val="Akapitzlist"/>
        <w:numPr>
          <w:ilvl w:val="0"/>
          <w:numId w:val="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autoSpaceDN w:val="0"/>
        <w:ind w:left="0"/>
        <w:jc w:val="both"/>
      </w:pPr>
      <w:r>
        <w:t>zgodnie z art. 42 ust. 4 ustawy – Prawo budowlane, przy prowadzeniu robót budowlanych, do kierowania którymi jest wymagane przygotowanie zawodowe w specjalności techniczno-budowlanej innej niż posiada kierownik budowy, inwestor jest obowiązany zapewnić ustanowienie kierownika robót w danej specjalności.</w:t>
      </w:r>
    </w:p>
    <w:p w:rsidR="00C87939" w:rsidRDefault="00C87939" w:rsidP="00C87939">
      <w:pPr>
        <w:pStyle w:val="Standard"/>
        <w:jc w:val="both"/>
      </w:pPr>
      <w:r>
        <w:rPr>
          <w:b/>
        </w:rPr>
        <w:t>3)</w:t>
      </w:r>
      <w:r>
        <w:t xml:space="preserve"> informuję o obowiązkach i warunkach, wynikających:</w:t>
      </w:r>
    </w:p>
    <w:p w:rsidR="00C87939" w:rsidRDefault="00C87939" w:rsidP="00C87939">
      <w:pPr>
        <w:pStyle w:val="Standard"/>
        <w:numPr>
          <w:ilvl w:val="0"/>
          <w:numId w:val="34"/>
        </w:numPr>
        <w:jc w:val="both"/>
      </w:pPr>
      <w:r>
        <w:t>z art. 54 ustawy – Prawo budowlane, który stanowi</w:t>
      </w:r>
      <w:r>
        <w:rPr>
          <w:kern w:val="0"/>
          <w:lang w:eastAsia="pl-PL"/>
        </w:rPr>
        <w:t xml:space="preserve">, że:  </w:t>
      </w:r>
    </w:p>
    <w:p w:rsidR="00C87939" w:rsidRDefault="00C87939" w:rsidP="00C87939">
      <w:pPr>
        <w:suppressAutoHyphens w:val="0"/>
        <w:textAlignment w:val="auto"/>
        <w:rPr>
          <w:kern w:val="0"/>
          <w:lang w:eastAsia="pl-PL"/>
        </w:rPr>
      </w:pPr>
      <w:r>
        <w:rPr>
          <w:kern w:val="0"/>
          <w:lang w:eastAsia="pl-PL"/>
        </w:rPr>
        <w:t>„1.  Do użytkowania obiektu budowlanego, na budowę którego wymagana jest decyzja o pozwoleniu na budowę albo zgłoszenie budowy, o której mowa w art. 29 ust. 1 pkt 1 i 2, można przystąpić, z zastrzeżeniem art. 55 i art. 57, po zawiadomieniu organu nadzoru budowlanego o zakończeniu budowy, jeżeli organ ten, w terminie 14 dni od dnia doręczenia zawiadomienia, nie zgłosi sprzeciwu w drodze decyzji. Przepis art. 30 ust. 6a stosuje się.</w:t>
      </w:r>
    </w:p>
    <w:p w:rsidR="00C87939" w:rsidRDefault="00C87939" w:rsidP="00C87939">
      <w:pPr>
        <w:suppressAutoHyphens w:val="0"/>
        <w:textAlignment w:val="auto"/>
        <w:rPr>
          <w:kern w:val="0"/>
          <w:lang w:eastAsia="pl-PL"/>
        </w:rPr>
      </w:pPr>
      <w:r>
        <w:rPr>
          <w:kern w:val="0"/>
          <w:lang w:eastAsia="pl-PL"/>
        </w:rPr>
        <w:t xml:space="preserve">2.  Organ nadzoru budowlanego może z urzędu przed upływem terminu, o którym mowa w ust. 1, wydać zaświadczenie o braku podstaw do wniesienia sprzeciwu. Wydanie zaświadczenia wyłącza możliwość wniesienia sprzeciwu, o którym mowa w ust. 1, oraz uprawnia inwestora do rozpoczęcia użytkowania obiektu, o którym mowa w ust. 1.” </w:t>
      </w:r>
    </w:p>
    <w:p w:rsidR="00C87939" w:rsidRDefault="00C87939" w:rsidP="00C87939">
      <w:pPr>
        <w:pStyle w:val="Akapitzlist"/>
        <w:widowControl/>
        <w:numPr>
          <w:ilvl w:val="0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N w:val="0"/>
        <w:textAlignment w:val="auto"/>
      </w:pPr>
      <w:r>
        <w:rPr>
          <w:rFonts w:ascii="Times New Roman" w:eastAsia="Times New Roman" w:hAnsi="Times New Roman" w:cs="Times New Roman"/>
          <w:kern w:val="0"/>
          <w:lang w:eastAsia="pl-PL" w:bidi="ar-SA"/>
        </w:rPr>
        <w:t xml:space="preserve">lub wynikające z art.  55 </w:t>
      </w:r>
      <w:r>
        <w:t>ustawy – Prawo budowlane, który stanowi</w:t>
      </w:r>
      <w:r>
        <w:rPr>
          <w:kern w:val="0"/>
          <w:lang w:eastAsia="pl-PL"/>
        </w:rPr>
        <w:t>, że: </w:t>
      </w:r>
    </w:p>
    <w:p w:rsidR="00C87939" w:rsidRDefault="00C87939" w:rsidP="00C87939">
      <w:pPr>
        <w:pStyle w:val="Normalny1"/>
        <w:widowControl/>
        <w:suppressAutoHyphens w:val="0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lang w:eastAsia="pl-PL" w:bidi="ar-SA"/>
        </w:rPr>
        <w:t>„1.  Do użytkowania obiektu budowlanego, na budowę którego wymagana jest decyzja o pozwoleniu na budowę albo zgłoszenie budowy, o której mowa w art. 29 ust. 1 pkt 1 i 2, można przystąpić, z zastrzeżeniem art. 55 i art. 57, po zawiadomieniu organu nadzoru budowlanego o zakończeniu budowy, jeżeli organ ten, w terminie 14 dni od dnia doręczenia zawiadomienia, nie zgłosi sprzeciwu w drodze decyzji. Przepis art. 30 ust. 6a stosuje się.</w:t>
      </w:r>
    </w:p>
    <w:p w:rsidR="00C87939" w:rsidRDefault="00C87939" w:rsidP="00C87939">
      <w:pPr>
        <w:pStyle w:val="Normalny1"/>
        <w:widowControl/>
        <w:suppressAutoHyphens w:val="0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lang w:eastAsia="pl-PL" w:bidi="ar-SA"/>
        </w:rPr>
        <w:t xml:space="preserve">2.  Organ nadzoru budowlanego może z urzędu przed upływem terminu, o którym mowa w ust. 1, wydać zaświadczenie o braku podstaw do wniesienia sprzeciwu. Wydanie </w:t>
      </w:r>
      <w:r>
        <w:rPr>
          <w:rFonts w:ascii="Times New Roman" w:eastAsia="Times New Roman" w:hAnsi="Times New Roman" w:cs="Times New Roman"/>
          <w:kern w:val="0"/>
          <w:lang w:eastAsia="pl-PL" w:bidi="ar-SA"/>
        </w:rPr>
        <w:lastRenderedPageBreak/>
        <w:t xml:space="preserve">zaświadczenia wyłącza możliwość wniesienia sprzeciwu, o którym mowa w ust. 1, oraz uprawnia inwestora do rozpoczęcia użytkowania obiektu, o którym mowa w ust. 1.” </w:t>
      </w:r>
    </w:p>
    <w:p w:rsidR="00C87939" w:rsidRDefault="00C87939" w:rsidP="00C87939">
      <w:pPr>
        <w:pStyle w:val="Akapitzlist"/>
        <w:widowControl/>
        <w:numPr>
          <w:ilvl w:val="0"/>
          <w:numId w:val="9"/>
        </w:numPr>
        <w:suppressAutoHyphens w:val="0"/>
        <w:jc w:val="both"/>
        <w:textAlignment w:val="auto"/>
      </w:pPr>
      <w:r>
        <w:rPr>
          <w:rStyle w:val="Domylnaczcionkaakapitu2"/>
          <w:rFonts w:ascii="Times New Roman" w:eastAsia="Times New Roman" w:hAnsi="Times New Roman" w:cs="Times New Roman"/>
          <w:kern w:val="0"/>
          <w:szCs w:val="24"/>
          <w:lang w:eastAsia="pl-PL" w:bidi="ar-SA"/>
        </w:rPr>
        <w:t xml:space="preserve">lub wynikające z art.  55 </w:t>
      </w:r>
      <w:r>
        <w:rPr>
          <w:rFonts w:ascii="Times New Roman" w:hAnsi="Times New Roman"/>
          <w:szCs w:val="24"/>
        </w:rPr>
        <w:t>ustawy – Prawo budowlane, który stanowi</w:t>
      </w:r>
      <w:r>
        <w:rPr>
          <w:rStyle w:val="Domylnaczcionkaakapitu2"/>
          <w:rFonts w:ascii="Times New Roman" w:hAnsi="Times New Roman"/>
          <w:kern w:val="0"/>
          <w:szCs w:val="24"/>
          <w:lang w:eastAsia="pl-PL"/>
        </w:rPr>
        <w:t>, że: </w:t>
      </w:r>
    </w:p>
    <w:p w:rsidR="00C87939" w:rsidRDefault="00C87939" w:rsidP="00C87939">
      <w:pPr>
        <w:pStyle w:val="Normalny1"/>
        <w:widowControl/>
        <w:suppressAutoHyphens w:val="0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lang w:eastAsia="pl-PL" w:bidi="ar-SA"/>
        </w:rPr>
        <w:t>„1.  Przed przystąpieniem do użytkowania obiektu budowlanego należy uzyskać decyzję o pozwoleniu na użytkowanie, jeżeli:</w:t>
      </w:r>
    </w:p>
    <w:p w:rsidR="00C87939" w:rsidRDefault="00C87939" w:rsidP="00C87939">
      <w:pPr>
        <w:pStyle w:val="Normalny1"/>
        <w:widowControl/>
        <w:suppressAutoHyphens w:val="0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lang w:eastAsia="pl-PL" w:bidi="ar-SA"/>
        </w:rPr>
        <w:t>1) na budowę obiektu budowlanego jest wymagane pozwolenie na budowę i jest on zaliczony do kategorii:</w:t>
      </w:r>
    </w:p>
    <w:p w:rsidR="00C87939" w:rsidRDefault="00C87939" w:rsidP="00C87939">
      <w:pPr>
        <w:pStyle w:val="Normalny1"/>
        <w:widowControl/>
        <w:suppressAutoHyphens w:val="0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lang w:eastAsia="pl-PL" w:bidi="ar-SA"/>
        </w:rPr>
        <w:t>a) V, IX-XVI,</w:t>
      </w:r>
    </w:p>
    <w:p w:rsidR="00C87939" w:rsidRDefault="00C87939" w:rsidP="00C87939">
      <w:pPr>
        <w:pStyle w:val="Normalny1"/>
        <w:widowControl/>
        <w:suppressAutoHyphens w:val="0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lang w:eastAsia="pl-PL" w:bidi="ar-SA"/>
        </w:rPr>
        <w:t>b) XVII - z wyjątkiem warsztatów rzemieślniczych, stacji obsługi pojazdów, myjni samochodowych i garaży do pięciu stanowisk włącznie,</w:t>
      </w:r>
    </w:p>
    <w:p w:rsidR="00C87939" w:rsidRDefault="00C87939" w:rsidP="00C87939">
      <w:pPr>
        <w:pStyle w:val="Normalny1"/>
        <w:widowControl/>
        <w:suppressAutoHyphens w:val="0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lang w:eastAsia="pl-PL" w:bidi="ar-SA"/>
        </w:rPr>
        <w:t>c) XVIII - z wyjątkiem obiektów magazynowych: budynki składowe, chłodnie, hangary i wiaty, a także budynków kolejowych: nastawnie, podstacje trakcyjne, lokomotywownie, wagonownie, strażnice przejazdowe i myjnie taboru kolejowego,</w:t>
      </w:r>
    </w:p>
    <w:p w:rsidR="00C87939" w:rsidRDefault="00C87939" w:rsidP="00C87939">
      <w:pPr>
        <w:pStyle w:val="Normalny1"/>
        <w:widowControl/>
        <w:suppressAutoHyphens w:val="0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lang w:eastAsia="pl-PL" w:bidi="ar-SA"/>
        </w:rPr>
        <w:t>d) XX,</w:t>
      </w:r>
    </w:p>
    <w:p w:rsidR="00C87939" w:rsidRDefault="00C87939" w:rsidP="00C87939">
      <w:pPr>
        <w:pStyle w:val="Normalny1"/>
        <w:widowControl/>
        <w:suppressAutoHyphens w:val="0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lang w:eastAsia="pl-PL" w:bidi="ar-SA"/>
        </w:rPr>
        <w:t>e) XXII - z wyjątkiem placów składowych, postojowych i parkingów,</w:t>
      </w:r>
    </w:p>
    <w:p w:rsidR="00C87939" w:rsidRDefault="00C87939" w:rsidP="00C87939">
      <w:pPr>
        <w:pStyle w:val="Normalny1"/>
        <w:widowControl/>
        <w:suppressAutoHyphens w:val="0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lang w:eastAsia="pl-PL" w:bidi="ar-SA"/>
        </w:rPr>
        <w:t>f) XXIV - z wyjątkiem stawów rybnych,</w:t>
      </w:r>
    </w:p>
    <w:p w:rsidR="00C87939" w:rsidRDefault="00C87939" w:rsidP="00C87939">
      <w:pPr>
        <w:pStyle w:val="Normalny1"/>
        <w:widowControl/>
        <w:suppressAutoHyphens w:val="0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lang w:eastAsia="pl-PL" w:bidi="ar-SA"/>
        </w:rPr>
        <w:t>g) XXVII - z wyjątkiem jazów, wałów przeciwpowodziowych, opasek i ostróg brzegowych oraz rowów melioracyjnych,</w:t>
      </w:r>
    </w:p>
    <w:p w:rsidR="00C87939" w:rsidRDefault="00C87939" w:rsidP="00C87939">
      <w:pPr>
        <w:pStyle w:val="Normalny1"/>
        <w:widowControl/>
        <w:suppressAutoHyphens w:val="0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lang w:eastAsia="pl-PL" w:bidi="ar-SA"/>
        </w:rPr>
        <w:t>h) XXVIII-XXX</w:t>
      </w:r>
    </w:p>
    <w:p w:rsidR="00C87939" w:rsidRDefault="00C87939" w:rsidP="00C87939">
      <w:pPr>
        <w:pStyle w:val="Normalny1"/>
        <w:widowControl/>
        <w:suppressAutoHyphens w:val="0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lang w:eastAsia="pl-PL" w:bidi="ar-SA"/>
        </w:rPr>
        <w:t>- o których mowa w załączniku do ustawy;</w:t>
      </w:r>
    </w:p>
    <w:p w:rsidR="00C87939" w:rsidRDefault="00C87939" w:rsidP="00C87939">
      <w:pPr>
        <w:pStyle w:val="Normalny1"/>
        <w:widowControl/>
        <w:suppressAutoHyphens w:val="0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lang w:eastAsia="pl-PL" w:bidi="ar-SA"/>
        </w:rPr>
        <w:t>2) zachodzą okoliczności, o których mowa w art. 49 ust. 5 albo art. 51 ust. 4;</w:t>
      </w:r>
    </w:p>
    <w:p w:rsidR="00C87939" w:rsidRDefault="00C87939" w:rsidP="00C87939">
      <w:pPr>
        <w:pStyle w:val="Normalny1"/>
        <w:widowControl/>
        <w:suppressAutoHyphens w:val="0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lang w:eastAsia="pl-PL" w:bidi="ar-SA"/>
        </w:rPr>
        <w:t>3) przystąpienie do użytkowania obiektu budowlanego ma nastąpić przed wykonaniem wszystkich robót budowlanych.</w:t>
      </w:r>
    </w:p>
    <w:p w:rsidR="00C87939" w:rsidRDefault="00C87939" w:rsidP="00C87939">
      <w:pPr>
        <w:pStyle w:val="Normalny1"/>
        <w:widowControl/>
        <w:suppressAutoHyphens w:val="0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lang w:eastAsia="pl-PL" w:bidi="ar-SA"/>
        </w:rPr>
        <w:t>1a. Decyzja, o której mowa w ust. 1 pkt 3, może obejmować:</w:t>
      </w:r>
    </w:p>
    <w:p w:rsidR="00C87939" w:rsidRDefault="00C87939" w:rsidP="00C87939">
      <w:pPr>
        <w:pStyle w:val="Normalny1"/>
        <w:widowControl/>
        <w:suppressAutoHyphens w:val="0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lang w:eastAsia="pl-PL" w:bidi="ar-SA"/>
        </w:rPr>
        <w:t>1) obiekt budowlany lub jego część;</w:t>
      </w:r>
    </w:p>
    <w:p w:rsidR="00C87939" w:rsidRDefault="00C87939" w:rsidP="00C87939">
      <w:pPr>
        <w:pStyle w:val="Normalny1"/>
        <w:widowControl/>
        <w:suppressAutoHyphens w:val="0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lang w:eastAsia="pl-PL" w:bidi="ar-SA"/>
        </w:rPr>
        <w:t>2) niektóre z obiektów budowlanych objętych jedną decyzją o pozwoleniu na budowę lub zgłoszeniem budowy, o którym mowa w art. 29 ust. 1 pkt 1 i 2.</w:t>
      </w:r>
    </w:p>
    <w:p w:rsidR="00C87939" w:rsidRDefault="00C87939" w:rsidP="00C87939">
      <w:pPr>
        <w:pStyle w:val="Normalny1"/>
        <w:widowControl/>
        <w:suppressAutoHyphens w:val="0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lang w:eastAsia="pl-PL" w:bidi="ar-SA"/>
        </w:rPr>
        <w:t>1b.Decyzja, o której mowa w ust. 1 pkt 3, może być wydana, jeżeli oddawane do użytkowania obiekty budowlane lub ich części mogą samodzielnie funkcjonować zgodnie z przeznaczeniem.</w:t>
      </w:r>
    </w:p>
    <w:p w:rsidR="00C87939" w:rsidRDefault="00C87939" w:rsidP="00C87939">
      <w:pPr>
        <w:pStyle w:val="Normalny1"/>
        <w:widowControl/>
        <w:suppressAutoHyphens w:val="0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lang w:eastAsia="pl-PL" w:bidi="ar-SA"/>
        </w:rPr>
        <w:t>2.  Inwestor zamiast dokonania zawiadomienia o zakończeniu budowy może wystąpić z wnioskiem o wydanie decyzji o pozwoleniu na użytkowanie.”</w:t>
      </w:r>
    </w:p>
    <w:p w:rsidR="00C87939" w:rsidRDefault="00C87939" w:rsidP="00C87939">
      <w:pPr>
        <w:jc w:val="both"/>
        <w:rPr>
          <w:b/>
        </w:rPr>
      </w:pPr>
    </w:p>
    <w:p w:rsidR="00C87939" w:rsidRPr="005C1DE9" w:rsidRDefault="00C87939" w:rsidP="00C87939">
      <w:pPr>
        <w:ind w:firstLine="709"/>
        <w:jc w:val="both"/>
      </w:pPr>
      <w:r w:rsidRPr="005C1DE9">
        <w:rPr>
          <w:b/>
        </w:rPr>
        <w:t>Ponadto przypominam, o konieczności zachowania warunków wynikających z innych przepisów, w tym m.in.:</w:t>
      </w:r>
    </w:p>
    <w:p w:rsidR="00C87939" w:rsidRPr="005C1DE9" w:rsidRDefault="00C87939" w:rsidP="00C87939">
      <w:pPr>
        <w:numPr>
          <w:ilvl w:val="0"/>
          <w:numId w:val="10"/>
        </w:numPr>
        <w:tabs>
          <w:tab w:val="left" w:pos="-588"/>
        </w:tabs>
        <w:overflowPunct w:val="0"/>
        <w:autoSpaceDE w:val="0"/>
        <w:ind w:left="57" w:hanging="57"/>
        <w:jc w:val="both"/>
      </w:pPr>
      <w:r w:rsidRPr="005C1DE9">
        <w:t>roboty budowlane można rozpocząć jedynie na  podstawie decyzji o pozwoleniu na budowę, z zastrzeżeniem art. 29-31, zgodnie z art. 28 ust. 1 ustawy - Prawo budowlane;</w:t>
      </w:r>
    </w:p>
    <w:p w:rsidR="00C87939" w:rsidRPr="005C1DE9" w:rsidRDefault="00C87939" w:rsidP="00C87939">
      <w:pPr>
        <w:numPr>
          <w:ilvl w:val="0"/>
          <w:numId w:val="10"/>
        </w:numPr>
        <w:tabs>
          <w:tab w:val="left" w:pos="-20028"/>
        </w:tabs>
        <w:overflowPunct w:val="0"/>
        <w:autoSpaceDE w:val="0"/>
        <w:ind w:left="57" w:firstLine="0"/>
        <w:jc w:val="both"/>
      </w:pPr>
      <w:r w:rsidRPr="005C1DE9">
        <w:t>decyzja o pozwoleniu na budowę wygasa, jeżeli budowa nie zostanie rozpoczęta przed upływem 3 lat od dnia, w którym ta stanie się ostateczną, lub budowa zostanie przerwana na okres dłuższy niż 3 lata, zgodnie z art. 37 ust. 1 ustawy - Prawo budowlane,</w:t>
      </w:r>
    </w:p>
    <w:p w:rsidR="00C87939" w:rsidRPr="005C1DE9" w:rsidRDefault="00C87939" w:rsidP="00C87939">
      <w:pPr>
        <w:numPr>
          <w:ilvl w:val="0"/>
          <w:numId w:val="10"/>
        </w:numPr>
        <w:tabs>
          <w:tab w:val="left" w:pos="-20028"/>
        </w:tabs>
        <w:overflowPunct w:val="0"/>
        <w:autoSpaceDE w:val="0"/>
        <w:ind w:left="57" w:firstLine="0"/>
        <w:jc w:val="both"/>
      </w:pPr>
      <w:r w:rsidRPr="005C1DE9">
        <w:t>w razie konieczności inwestor jest zobowiązany uzyskać, zgodnie z art. 83a ust. 1 ustawy z dnia 16 kwietnia 2004 r. o ochronie przyrody (t.j. Dz.U. z 2022 r. poz. 916 ze zm.) „Zezwolenie na usunięcie drzewa lub krzewu z terenu nieruchomości (…)”, które „wydaje wójt, burmistrz albo prezydent miasta, a w przypadku gdy zezwolenie dotyczy usunięcia drzewa lub krzewu z terenu nieruchomości lub jej części wpisanej do rejestru zabytków - wojewódzki konserwator zabytków.”</w:t>
      </w:r>
    </w:p>
    <w:p w:rsidR="00C87939" w:rsidRPr="005C1DE9" w:rsidRDefault="00C87939" w:rsidP="00C87939">
      <w:pPr>
        <w:widowControl w:val="0"/>
        <w:numPr>
          <w:ilvl w:val="0"/>
          <w:numId w:val="10"/>
        </w:numPr>
        <w:ind w:left="0" w:firstLine="0"/>
        <w:jc w:val="both"/>
        <w:rPr>
          <w:szCs w:val="21"/>
        </w:rPr>
      </w:pPr>
      <w:r w:rsidRPr="005C1DE9">
        <w:t xml:space="preserve">jeżeli do wykonania robót budowlanych zgodnie z niniejszą decyzją jest niezbędne wejście do sąsiedniego budynku, lokalu lub na teren sąsiedniej nieruchomości, inwestor jest obowiązany przed rozpoczęciem robót uzyskać zgodę właściciela sąsiedniej nieruchomości, </w:t>
      </w:r>
      <w:r w:rsidRPr="005C1DE9">
        <w:lastRenderedPageBreak/>
        <w:t>budynku lub lokalu oraz ew. najemcy lub użytkownika, na wejście oraz uzgodnić z nim przewidywany sposób, zakres i terminy korzystania z tych obiektów, a także ewentualną rekompensatę z tego tytułu;</w:t>
      </w:r>
    </w:p>
    <w:p w:rsidR="00C87939" w:rsidRPr="005C1DE9" w:rsidRDefault="00C87939" w:rsidP="00C87939">
      <w:pPr>
        <w:widowControl w:val="0"/>
        <w:numPr>
          <w:ilvl w:val="0"/>
          <w:numId w:val="10"/>
        </w:numPr>
        <w:ind w:left="0" w:firstLine="0"/>
        <w:jc w:val="both"/>
        <w:rPr>
          <w:szCs w:val="21"/>
        </w:rPr>
      </w:pPr>
      <w:r w:rsidRPr="005C1DE9">
        <w:t>po zakończeniu budowy doprowadzić do należytego stanu i porządku teren nieruchomości, a w razie korzystania w trakcie budowy, także drogę, ulicę, sąsiednią nieruchomość, budynek lub lokal;</w:t>
      </w:r>
    </w:p>
    <w:p w:rsidR="00C87939" w:rsidRPr="005C1DE9" w:rsidRDefault="00C87939" w:rsidP="00C87939">
      <w:pPr>
        <w:widowControl w:val="0"/>
        <w:numPr>
          <w:ilvl w:val="0"/>
          <w:numId w:val="10"/>
        </w:numPr>
        <w:ind w:left="0" w:firstLine="0"/>
        <w:jc w:val="both"/>
        <w:rPr>
          <w:szCs w:val="21"/>
        </w:rPr>
      </w:pPr>
      <w:r w:rsidRPr="005C1DE9">
        <w:t>odpowiedzialność cywilno-prawna w związku z ewentualnymi szkodami wyrządzonymi w trakcie wykonywanych robót budowlanych oraz z tytułu odpowiedzialności za wejście na teren działek sąsiednich spoczywa w całości na inwestorze;</w:t>
      </w:r>
    </w:p>
    <w:p w:rsidR="00C87939" w:rsidRPr="005C1DE9" w:rsidRDefault="00C87939" w:rsidP="00C87939">
      <w:pPr>
        <w:numPr>
          <w:ilvl w:val="0"/>
          <w:numId w:val="10"/>
        </w:numPr>
        <w:tabs>
          <w:tab w:val="left" w:pos="-20028"/>
        </w:tabs>
        <w:overflowPunct w:val="0"/>
        <w:autoSpaceDE w:val="0"/>
        <w:ind w:left="57" w:firstLine="0"/>
        <w:jc w:val="both"/>
      </w:pPr>
      <w:r w:rsidRPr="005C1DE9">
        <w:t>zatwierdzenie projektu zagospodarowania terenu i projektu architektoniczno-budowlanego dla niniejszej inwestycji nie zwalnia projektantów oraz projektantów sprawdzających z odpowiedzialności cywilnej i zawodowej za zgodność inwestycji z przepisami;</w:t>
      </w:r>
    </w:p>
    <w:p w:rsidR="00C87939" w:rsidRPr="005C1DE9" w:rsidRDefault="00C87939" w:rsidP="00C87939">
      <w:pPr>
        <w:numPr>
          <w:ilvl w:val="0"/>
          <w:numId w:val="10"/>
        </w:numPr>
        <w:tabs>
          <w:tab w:val="left" w:pos="-20028"/>
        </w:tabs>
        <w:overflowPunct w:val="0"/>
        <w:autoSpaceDE w:val="0"/>
        <w:ind w:left="57" w:firstLine="0"/>
        <w:jc w:val="both"/>
      </w:pPr>
      <w:r w:rsidRPr="005C1DE9">
        <w:t>organ przypomina o obowiązku gospodarowania odpadami zgodnie z przepisami, w tym ustawą z dnia 14 grudnia 2012 r. o odpadach (tj. Dz.U. z 2022 r., poz. 699 ze zm.).</w:t>
      </w:r>
    </w:p>
    <w:p w:rsidR="00C87939" w:rsidRDefault="00C87939">
      <w:pPr>
        <w:jc w:val="both"/>
        <w:rPr>
          <w:color w:val="FF0000"/>
        </w:rPr>
      </w:pPr>
    </w:p>
    <w:p w:rsidR="00BC0732" w:rsidRDefault="00BC0732">
      <w:pPr>
        <w:ind w:firstLine="709"/>
        <w:jc w:val="both"/>
        <w:rPr>
          <w:b/>
        </w:rPr>
      </w:pPr>
      <w:r>
        <w:rPr>
          <w:b/>
        </w:rPr>
        <w:t xml:space="preserve">Otrzymanie ostatecznej decyzji pozwolenia na budowę nie zwalnia uczestników procesu budowlanego od obowiązków wynikających z innych przepisów. </w:t>
      </w:r>
    </w:p>
    <w:p w:rsidR="00575259" w:rsidRDefault="00575259">
      <w:pPr>
        <w:ind w:firstLine="709"/>
        <w:jc w:val="both"/>
      </w:pPr>
      <w:r>
        <w:rPr>
          <w:b/>
        </w:rPr>
        <w:t xml:space="preserve"> </w:t>
      </w:r>
    </w:p>
    <w:p w:rsidR="00BC0732" w:rsidRDefault="00BC0732">
      <w:pPr>
        <w:tabs>
          <w:tab w:val="left" w:pos="-19365"/>
        </w:tabs>
        <w:overflowPunct w:val="0"/>
        <w:autoSpaceDE w:val="0"/>
        <w:ind w:left="720"/>
        <w:jc w:val="both"/>
        <w:rPr>
          <w:i/>
          <w:color w:val="99CC00"/>
          <w:u w:val="single"/>
        </w:rPr>
      </w:pPr>
    </w:p>
    <w:p w:rsidR="00BC0732" w:rsidRDefault="00BC0732">
      <w:pPr>
        <w:jc w:val="center"/>
      </w:pPr>
      <w:r>
        <w:rPr>
          <w:b/>
        </w:rPr>
        <w:t>UZASADNIENIE</w:t>
      </w:r>
    </w:p>
    <w:p w:rsidR="00BC0732" w:rsidRPr="00DA0B12" w:rsidRDefault="00BC0732">
      <w:pPr>
        <w:ind w:firstLine="708"/>
        <w:jc w:val="both"/>
      </w:pPr>
      <w:r w:rsidRPr="00DA0B12">
        <w:t xml:space="preserve">Dnia </w:t>
      </w:r>
      <w:r w:rsidR="00EE14CC">
        <w:rPr>
          <w:rStyle w:val="Domylnaczcionkaakapitu2"/>
        </w:rPr>
        <w:t xml:space="preserve">31 stycznia </w:t>
      </w:r>
      <w:r w:rsidR="002551CC">
        <w:rPr>
          <w:rStyle w:val="Domylnaczcionkaakapitu2"/>
        </w:rPr>
        <w:t xml:space="preserve">2023 </w:t>
      </w:r>
      <w:r w:rsidRPr="00DA0B12">
        <w:rPr>
          <w:rStyle w:val="Domylnaczcionkaakapitu2"/>
        </w:rPr>
        <w:t>r.</w:t>
      </w:r>
      <w:r w:rsidRPr="00DA0B12">
        <w:t xml:space="preserve"> wpłynął do tutejszego organu wniosek </w:t>
      </w:r>
      <w:r w:rsidR="00DA0B12" w:rsidRPr="00DA0B12">
        <w:t xml:space="preserve">inwestora </w:t>
      </w:r>
      <w:r w:rsidRPr="00DA0B12">
        <w:t>o u</w:t>
      </w:r>
      <w:r w:rsidR="00651C5E">
        <w:t xml:space="preserve">dzielenie pozwolenia na budowę, który po uprzednim wezwaniu został uzupełniony w  dniu 27 lutego 2023 r. </w:t>
      </w:r>
      <w:r w:rsidR="007864A1">
        <w:t>a następnie uzupełniony w dniu 23 marca 2023 r. o projekt rozbiórki.</w:t>
      </w:r>
    </w:p>
    <w:p w:rsidR="00BC0732" w:rsidRDefault="00BC0732">
      <w:pPr>
        <w:jc w:val="both"/>
      </w:pPr>
      <w:r>
        <w:tab/>
        <w:t>Na wstępie organ dokonał sprawdzenia kompletności wniosku pod względem formalnoprawnym. Inwestor do wniosku o pozwolenie na budowę dołączył:</w:t>
      </w:r>
    </w:p>
    <w:p w:rsidR="00BC0732" w:rsidRDefault="00BC0732">
      <w:pPr>
        <w:pStyle w:val="Akapitzlist"/>
        <w:numPr>
          <w:ilvl w:val="0"/>
          <w:numId w:val="11"/>
        </w:numPr>
        <w:suppressAutoHyphens w:val="0"/>
        <w:jc w:val="both"/>
      </w:pPr>
      <w:r w:rsidRPr="000D655B">
        <w:rPr>
          <w:rFonts w:ascii="Times New Roman" w:hAnsi="Times New Roman"/>
          <w:szCs w:val="24"/>
        </w:rPr>
        <w:t>trzy egzemplarze projektu zagospodarowania działki lub terenu oraz projektu architektoniczno-budowlanego w postaci</w:t>
      </w:r>
      <w:r w:rsidR="000D655B" w:rsidRPr="000D655B">
        <w:rPr>
          <w:rFonts w:ascii="Times New Roman" w:hAnsi="Times New Roman"/>
          <w:szCs w:val="24"/>
        </w:rPr>
        <w:t xml:space="preserve"> papierowej</w:t>
      </w:r>
      <w:r w:rsidRPr="000D655B">
        <w:rPr>
          <w:rFonts w:ascii="Times New Roman" w:hAnsi="Times New Roman"/>
          <w:szCs w:val="24"/>
        </w:rPr>
        <w:t>, wraz</w:t>
      </w:r>
      <w:r>
        <w:rPr>
          <w:rFonts w:ascii="Times New Roman" w:hAnsi="Times New Roman"/>
          <w:szCs w:val="24"/>
        </w:rPr>
        <w:t xml:space="preserve"> z opiniami, uzgodnieniami, pozwoleniami i innymi dokumentami, których obowiązek dołączenia wynika z przepisów odrębnych ustaw, lub kopiami tych opinii, uzgodnień, pozwoleń i innych dokumentów;</w:t>
      </w:r>
    </w:p>
    <w:p w:rsidR="00BC0732" w:rsidRDefault="00BC0732">
      <w:pPr>
        <w:pStyle w:val="Akapitzlist"/>
        <w:numPr>
          <w:ilvl w:val="0"/>
          <w:numId w:val="11"/>
        </w:numPr>
        <w:jc w:val="both"/>
      </w:pPr>
      <w:r>
        <w:rPr>
          <w:rFonts w:ascii="Times New Roman" w:hAnsi="Times New Roman"/>
          <w:szCs w:val="24"/>
        </w:rPr>
        <w:t>oświadczenie o posiadanym prawie do dysponowania nieruchomością na cele budowlane;</w:t>
      </w:r>
    </w:p>
    <w:p w:rsidR="002551CC" w:rsidRDefault="002551CC">
      <w:pPr>
        <w:pStyle w:val="Akapitzlist"/>
        <w:numPr>
          <w:ilvl w:val="0"/>
          <w:numId w:val="11"/>
        </w:numPr>
        <w:jc w:val="both"/>
      </w:pPr>
      <w:r>
        <w:rPr>
          <w:rFonts w:ascii="Times New Roman" w:hAnsi="Times New Roman"/>
          <w:szCs w:val="24"/>
        </w:rPr>
        <w:t>pełnomocnictwo wraz z potwierdzeniem opłaty skarbowej;</w:t>
      </w:r>
    </w:p>
    <w:p w:rsidR="00BC0732" w:rsidRDefault="00BC0732">
      <w:pPr>
        <w:tabs>
          <w:tab w:val="left" w:pos="568"/>
        </w:tabs>
        <w:overflowPunct w:val="0"/>
        <w:autoSpaceDE w:val="0"/>
        <w:ind w:left="284"/>
        <w:jc w:val="both"/>
        <w:rPr>
          <w:color w:val="92D050"/>
        </w:rPr>
      </w:pPr>
    </w:p>
    <w:p w:rsidR="00C87939" w:rsidRPr="004C626C" w:rsidRDefault="00C87939" w:rsidP="00C87939">
      <w:pPr>
        <w:pStyle w:val="Standard"/>
        <w:ind w:firstLine="708"/>
        <w:jc w:val="both"/>
      </w:pPr>
      <w:r w:rsidRPr="004C626C">
        <w:rPr>
          <w:bCs/>
        </w:rPr>
        <w:t xml:space="preserve">Wobec tego, że inwestor nie złożył do Starosty Piaseczyńskiego wniosku o ponowne przeprowadzenie oceny oddziaływania przedsięwzięcia na środowisko, organ dokonał na podstawie </w:t>
      </w:r>
      <w:r w:rsidRPr="004C626C">
        <w:t xml:space="preserve">art. 88 ust. 1 pkt 2 ustawy z dnia 3 października 2008 r. o udostępnianiu informacji o środowisku i jego ochronie, udziale społeczeństwa w ochronie środowiska oraz o ocenach oddziaływania na środowisko (t.j. Dz. U. z 2020 r., poz. 283 ze zm.) </w:t>
      </w:r>
      <w:r w:rsidRPr="004C626C">
        <w:rPr>
          <w:bCs/>
        </w:rPr>
        <w:t>oceny,</w:t>
      </w:r>
      <w:r w:rsidRPr="004C626C">
        <w:t xml:space="preserve"> czy we wniosku o wydanie decyzji o pozwoleniu na budowę zostały dokonane zmiany w stosunku do wymagań określonych w decyzji o środowiskowych uwarunkowaniach. W związku z powyższym dokonano zbadania zgodności dokumentacji i nie stwierdzono niezgodności zapisów decyzji środowiskowej z wnioskiem o pozwolenie na budowę. Po zbadaniu materiału dowodowego </w:t>
      </w:r>
      <w:r w:rsidRPr="004C626C">
        <w:rPr>
          <w:iCs/>
        </w:rPr>
        <w:t xml:space="preserve">organ uznał, że nie zachodzi konieczność ponownego przeprowadzenia oceny oddziaływania inwestycji na środowisko. </w:t>
      </w:r>
    </w:p>
    <w:p w:rsidR="00C87939" w:rsidRDefault="00C87939" w:rsidP="00C87939">
      <w:pPr>
        <w:pStyle w:val="Standard"/>
        <w:ind w:firstLine="349"/>
        <w:jc w:val="both"/>
      </w:pPr>
      <w:r w:rsidRPr="004C626C">
        <w:t xml:space="preserve">Wypełniając zapis art. 95 ww. ustawy o udostępnianiu informacji o środowisku i jego ochronie, udziale społeczeństwa w ochronie środowiska oraz o ocenach oddziaływania na środowisko, tutejszy organ wskazuje poniżej wymagania dotyczące ochrony środowiska </w:t>
      </w:r>
      <w:r w:rsidRPr="004C626C">
        <w:lastRenderedPageBreak/>
        <w:t xml:space="preserve">konieczne do uwzględnienia w dokumentacji wymaganej do wydania decyzji, oraz  w jaki sposób zostały one uwzględnione w projekcie budowlanym w zakresie warunków zabezpieczenia terenu budowy i prowadzenia robót budowlanych organ przypomniał o konieczności dostosowania się do uwag i zaleceń zawartych w decyzji środowiskowej </w:t>
      </w:r>
      <w:r>
        <w:t xml:space="preserve">Burmistrza Miasta i Gminy Piaseczno nr 5/2022  </w:t>
      </w:r>
      <w:r w:rsidRPr="004C626C">
        <w:t xml:space="preserve">z dnia </w:t>
      </w:r>
      <w:r>
        <w:t xml:space="preserve"> 8 czerwca 2022 r. </w:t>
      </w:r>
      <w:r w:rsidRPr="004C626C">
        <w:t xml:space="preserve">r., znak </w:t>
      </w:r>
      <w:r>
        <w:t>OŚR.6220.26.2021.ŁM tj.</w:t>
      </w:r>
      <w:r w:rsidRPr="004C626C">
        <w:t>:</w:t>
      </w:r>
      <w:r>
        <w:t xml:space="preserve"> </w:t>
      </w:r>
    </w:p>
    <w:p w:rsidR="00C87939" w:rsidRDefault="00C87939" w:rsidP="00C87939">
      <w:pPr>
        <w:pStyle w:val="Standard"/>
        <w:numPr>
          <w:ilvl w:val="0"/>
          <w:numId w:val="35"/>
        </w:numPr>
        <w:jc w:val="both"/>
      </w:pPr>
      <w:r>
        <w:t>na etapie projektu należy zapewnić ochronę pni, koron i systemów korzeniowych drzew przeznaczonych do adaptacji, zgodnie ze sztuką ogrodniczą;</w:t>
      </w:r>
    </w:p>
    <w:p w:rsidR="00C87939" w:rsidRDefault="00C87939" w:rsidP="00C87939">
      <w:pPr>
        <w:pStyle w:val="Standard"/>
        <w:numPr>
          <w:ilvl w:val="0"/>
          <w:numId w:val="35"/>
        </w:numPr>
        <w:jc w:val="both"/>
      </w:pPr>
      <w:r>
        <w:t>bezpośrednio przed rozpoczęciem robót oraz w trakcie prowadzenia prac budowlanych prowadzić kontrolę terenu na obecność zwierząt, gdy istnieje taka konieczność należy umożliwić im ucieczkę z terenu budowy, a w przypadku braku możliwości ucieczki , zwierzęta należy przenieść do odpowiednich siedlisk poza rejon objęty inwestycją;</w:t>
      </w:r>
    </w:p>
    <w:p w:rsidR="00C87939" w:rsidRDefault="00C87939" w:rsidP="00C87939">
      <w:pPr>
        <w:pStyle w:val="Standard"/>
        <w:numPr>
          <w:ilvl w:val="0"/>
          <w:numId w:val="35"/>
        </w:numPr>
        <w:jc w:val="both"/>
      </w:pPr>
      <w:r>
        <w:t>podczas prowadzenia prac należy zabezpieczyć wykopy w sposób uniemożliwiający wpadanie do nich zwierząt;</w:t>
      </w:r>
    </w:p>
    <w:p w:rsidR="00C87939" w:rsidRDefault="00C87939" w:rsidP="00C87939">
      <w:pPr>
        <w:pStyle w:val="Standard"/>
        <w:numPr>
          <w:ilvl w:val="0"/>
          <w:numId w:val="35"/>
        </w:numPr>
        <w:jc w:val="both"/>
      </w:pPr>
      <w:r>
        <w:t>podczas budowy stosować sprawny technicznie sprzęt i urządzenia budowlane;</w:t>
      </w:r>
    </w:p>
    <w:p w:rsidR="00C87939" w:rsidRDefault="00C87939" w:rsidP="00C87939">
      <w:pPr>
        <w:pStyle w:val="Standard"/>
        <w:numPr>
          <w:ilvl w:val="0"/>
          <w:numId w:val="35"/>
        </w:numPr>
        <w:jc w:val="both"/>
      </w:pPr>
      <w:r>
        <w:t>zaplecze budowy</w:t>
      </w:r>
      <w:r w:rsidR="00665B21">
        <w:t>, a w szczególności miejsca postoju pojazdów i maszyn, zabezpieczyć przed przedostaniem się substancji ropopochodnych do gruntu i wód, w tym m.in. zaplecze budowy (park maszynowy, bazy i miejsca składowania odpadów/materiałów)należy zorganizować na terenie utwardzonym. Zakazuje się składowania materiałów budowlanych pod koronami drzew przeznaczonych do adaptacji;</w:t>
      </w:r>
    </w:p>
    <w:p w:rsidR="00665B21" w:rsidRDefault="00665B21" w:rsidP="00C87939">
      <w:pPr>
        <w:pStyle w:val="Standard"/>
        <w:numPr>
          <w:ilvl w:val="0"/>
          <w:numId w:val="35"/>
        </w:numPr>
        <w:jc w:val="both"/>
      </w:pPr>
      <w:r>
        <w:t>zaplecze budowy wyposażyć w materiały sorpcyjne umożliwiające szybkie usunięcie ewentualnych wycieków paliw;</w:t>
      </w:r>
    </w:p>
    <w:p w:rsidR="00665B21" w:rsidRDefault="00665B21" w:rsidP="00C87939">
      <w:pPr>
        <w:pStyle w:val="Standard"/>
        <w:numPr>
          <w:ilvl w:val="0"/>
          <w:numId w:val="35"/>
        </w:numPr>
        <w:jc w:val="both"/>
      </w:pPr>
      <w:r>
        <w:t>przestrzegać odpowiedniej i terminowej konserwacji maszyn co zapobiega wyciekom paliw, olejów lub innych płynów eksploatacyjnych, a tym samym zapobiega przedostaniu się ich do gleby lub wód podziemnych;</w:t>
      </w:r>
    </w:p>
    <w:p w:rsidR="00665B21" w:rsidRDefault="00665B21" w:rsidP="00C87939">
      <w:pPr>
        <w:pStyle w:val="Standard"/>
        <w:numPr>
          <w:ilvl w:val="0"/>
          <w:numId w:val="35"/>
        </w:numPr>
        <w:jc w:val="both"/>
      </w:pPr>
      <w:r>
        <w:t>w czasie realizacji inwestycji ścieki bytowe odprowadzić do szczelnych zbiorników, przenośnych toalet oraz opróżniać ich zawartości przez wykwalifikowaną firmę posiadającą zgodę na usługi asenizacyjne;</w:t>
      </w:r>
    </w:p>
    <w:p w:rsidR="00665B21" w:rsidRDefault="00665B21" w:rsidP="00C87939">
      <w:pPr>
        <w:pStyle w:val="Standard"/>
        <w:numPr>
          <w:ilvl w:val="0"/>
          <w:numId w:val="35"/>
        </w:numPr>
        <w:jc w:val="both"/>
      </w:pPr>
      <w:r>
        <w:t>przygotować miejsca do selektywnej zbiórki odpadów powstałych w czasie rozbiórki istniejących obiektów oraz w czasie realizacji inwestycji wraz z odpowiednim zabezpieczeniem odpadów przed wpływem czynników atmosferycznych, w sposób uniemożliwiający przedostanie się zanieczyszczeń (ścieków) do środowiska wodno-gruntowego;</w:t>
      </w:r>
    </w:p>
    <w:p w:rsidR="00665B21" w:rsidRDefault="00665B21" w:rsidP="00C87939">
      <w:pPr>
        <w:pStyle w:val="Standard"/>
        <w:numPr>
          <w:ilvl w:val="0"/>
          <w:numId w:val="35"/>
        </w:numPr>
        <w:jc w:val="both"/>
      </w:pPr>
      <w:r>
        <w:t>dokonywać okresowych przeglądów technicznych , gwarantujących sprawność funkcjonowania instalacji oraz ograniczenie ryzyka awarii mogącej skutkować zanieczyszczeniem środowiska;</w:t>
      </w:r>
    </w:p>
    <w:p w:rsidR="00665B21" w:rsidRDefault="00665B21" w:rsidP="00C87939">
      <w:pPr>
        <w:pStyle w:val="Standard"/>
        <w:numPr>
          <w:ilvl w:val="0"/>
          <w:numId w:val="35"/>
        </w:numPr>
        <w:jc w:val="both"/>
      </w:pPr>
      <w:r>
        <w:t>ewentualne odwodnienie budowlane wykonać przy pomocy igłofiltrów lub dna wykopów za pomocą pomp przenośnych</w:t>
      </w:r>
      <w:r w:rsidR="00D661D9">
        <w:t>, nie powodując trwałego obniżenia poziomu wód gruntowych;</w:t>
      </w:r>
    </w:p>
    <w:p w:rsidR="00D661D9" w:rsidRDefault="00D661D9" w:rsidP="00C87939">
      <w:pPr>
        <w:pStyle w:val="Standard"/>
        <w:numPr>
          <w:ilvl w:val="0"/>
          <w:numId w:val="35"/>
        </w:numPr>
        <w:jc w:val="both"/>
      </w:pPr>
      <w:r>
        <w:t>wodę z odwodnienia zagospodarować na własnym terenie po uzyskaniu stosownych zezwoleń nie powodując podtopień lub zalania terenów sąsiednich;</w:t>
      </w:r>
    </w:p>
    <w:p w:rsidR="00D661D9" w:rsidRDefault="00D661D9" w:rsidP="00C87939">
      <w:pPr>
        <w:pStyle w:val="Standard"/>
        <w:numPr>
          <w:ilvl w:val="0"/>
          <w:numId w:val="35"/>
        </w:numPr>
        <w:jc w:val="both"/>
      </w:pPr>
      <w:r>
        <w:t>w czasie eksploatacji ścieki socjalno-bytowe oraz wodę z płukania filtrów odprowadzać do gminnej sieci kanalizacyjnej;</w:t>
      </w:r>
    </w:p>
    <w:p w:rsidR="00D661D9" w:rsidRDefault="00D661D9" w:rsidP="00C87939">
      <w:pPr>
        <w:pStyle w:val="Standard"/>
        <w:numPr>
          <w:ilvl w:val="0"/>
          <w:numId w:val="35"/>
        </w:numPr>
        <w:jc w:val="both"/>
      </w:pPr>
      <w:r>
        <w:t>ścieki technologiczne z pomieszczenia reagentów odprowadzać do bezodpływowego szczelnego zbiornika neutralizacyjnego;</w:t>
      </w:r>
    </w:p>
    <w:p w:rsidR="00D661D9" w:rsidRDefault="00D661D9" w:rsidP="00C87939">
      <w:pPr>
        <w:pStyle w:val="Standard"/>
        <w:numPr>
          <w:ilvl w:val="0"/>
          <w:numId w:val="35"/>
        </w:numPr>
        <w:jc w:val="both"/>
      </w:pPr>
      <w:r>
        <w:t>po zakończeniu budowy, teren uporządkować i zagospodarować wykorzystując zdjętą przed realizacją inwestycji warstwę gleby;</w:t>
      </w:r>
    </w:p>
    <w:p w:rsidR="00EC4663" w:rsidRDefault="00EC4663" w:rsidP="00EC4663">
      <w:pPr>
        <w:pStyle w:val="Standard"/>
        <w:jc w:val="both"/>
      </w:pPr>
      <w:r w:rsidRPr="00320BF0">
        <w:lastRenderedPageBreak/>
        <w:t>Powyższe punkty zostały spełnione poprzez:</w:t>
      </w:r>
    </w:p>
    <w:p w:rsidR="00EC4663" w:rsidRDefault="00175B22" w:rsidP="00BA774D">
      <w:pPr>
        <w:pStyle w:val="Standard"/>
        <w:numPr>
          <w:ilvl w:val="0"/>
          <w:numId w:val="36"/>
        </w:numPr>
        <w:jc w:val="both"/>
      </w:pPr>
      <w:r>
        <w:t>Nakaz ochrony pni, koron i systemów korzeniowych drzew - warunek zostanie spełniony poprzez odeskowanie pni do wysokości co najmniej 1,50 m, oszalowanie powinno opierać się o podłoże i być spięte drutem lub taśmą stalową  co ok. 50 cm w dwóch miejscach, ewentualnie można dokonać wygrodzenia strefy systemu korzeniowego i korony ogrodzeniem ochronnym o wysokości min. 1,5m. Wykopy bezpośrednio przy pniach wykonywane będą ręcznie,</w:t>
      </w:r>
    </w:p>
    <w:p w:rsidR="00175B22" w:rsidRDefault="00175B22" w:rsidP="00BA774D">
      <w:pPr>
        <w:pStyle w:val="Standard"/>
        <w:numPr>
          <w:ilvl w:val="0"/>
          <w:numId w:val="36"/>
        </w:numPr>
        <w:jc w:val="both"/>
      </w:pPr>
      <w:r>
        <w:t xml:space="preserve">Pod koronami drzew nie wolno składować materiałów budowlanych - warunek spełniony poprzez ustanowienie miejsc składowania materiałów poza obrębem koron drzew, </w:t>
      </w:r>
    </w:p>
    <w:p w:rsidR="00175B22" w:rsidRDefault="00175B22" w:rsidP="00BA774D">
      <w:pPr>
        <w:pStyle w:val="Standard"/>
        <w:numPr>
          <w:ilvl w:val="0"/>
          <w:numId w:val="36"/>
        </w:numPr>
        <w:jc w:val="both"/>
      </w:pPr>
      <w:r>
        <w:t>Konieczność kontroli pod kątem obecności zwierząt, a w przypadku ich stwierdzenia nakaz zapewnienia im możliwości ucieczki z placu budowy lub przeniesienia do odpowiednich siedlisk poza terenem inwestycji - warunek spełniony poprzez prowadzenie codziennych kontroli (przed rozpoczęciem robót) na obecność zwierząt i ewentualne ich odławianie i przeniesienie w miejsce bezpieczne,</w:t>
      </w:r>
    </w:p>
    <w:p w:rsidR="00175B22" w:rsidRDefault="00175B22" w:rsidP="00BA774D">
      <w:pPr>
        <w:pStyle w:val="Standard"/>
        <w:numPr>
          <w:ilvl w:val="0"/>
          <w:numId w:val="36"/>
        </w:numPr>
        <w:jc w:val="both"/>
      </w:pPr>
      <w:r>
        <w:t>Zabezpieczenie wykopów w sposób uniemożliwiający wpadanie do nich zwierząt  -warunek spełniony poprzez ustawienie barier ochronnych wokół terenu prowadzonych prac,  w przypadku konieczności montaż  tymczasowych ogrodzeń ochronnych, siatek o wysokości min. 50 cm,</w:t>
      </w:r>
    </w:p>
    <w:p w:rsidR="00175B22" w:rsidRPr="00175B22" w:rsidRDefault="00175B22" w:rsidP="00175B22">
      <w:pPr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textAlignment w:val="auto"/>
      </w:pPr>
      <w:r w:rsidRPr="00175B22">
        <w:t>Konieczność wykorzystywania sprzętu sprawnego technicznie z zachowaniem konieczności terminowej kontroli maszyn - warunek spełniony poprzez kontrolę sprzętu wykonawcy pod kątem badań technicznych i przeglądów okresowych maszyn,</w:t>
      </w:r>
    </w:p>
    <w:p w:rsidR="00175B22" w:rsidRPr="00175B22" w:rsidRDefault="00175B22" w:rsidP="00175B22">
      <w:pPr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textAlignment w:val="auto"/>
      </w:pPr>
      <w:r w:rsidRPr="00175B22">
        <w:t>Zaplecze budowy powinno być zabezpieczone przed przedostaniem się substancji ropopochodnych do gruntu i wód - warunek spełniony poprzez organizowanie zaplecza budowy w bezpiecznej odległości od istniejących cieków wodnych, nawierzchnia zaplecza zostanie uszczelniona w obszarze placów postojowych maszyn i środków transportu,</w:t>
      </w:r>
    </w:p>
    <w:p w:rsidR="00175B22" w:rsidRPr="00175B22" w:rsidRDefault="00175B22" w:rsidP="00175B22">
      <w:pPr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textAlignment w:val="auto"/>
      </w:pPr>
      <w:r w:rsidRPr="00175B22">
        <w:t>Zaplecze budowy wyposażyć w materiały sorpcyjne umożliwiające szybkie usunięcie ewentualnych wycieków paliw -warunek spełniony poprzez wyposażenie zaplecza w materiały sorpcyjne oraz przeszkolenie pracowników odnośnie ich zastosowania, w przypadku wycieku paliwa i zanieczyszczenia gruntu, zanieczyszczony grunt zostanie przekazany podmiotom uprawnionym do jego transportu i rekultywacji lub unieszkodliwiania,</w:t>
      </w:r>
    </w:p>
    <w:p w:rsidR="00175B22" w:rsidRPr="00175B22" w:rsidRDefault="00175B22" w:rsidP="00175B22">
      <w:pPr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textAlignment w:val="auto"/>
      </w:pPr>
      <w:r w:rsidRPr="00175B22">
        <w:t>Przestrzeganie terminowej konserwacji maszyn w celu zapobiegania wyciekom paliw i olejów lub innych płynów eksploatacyjnych do gleby i wód - warunek spełniony poprzez kontrolę sprzętu wykonawcy pod kątem badań technicznych i przeglądów okresowych maszyn;</w:t>
      </w:r>
    </w:p>
    <w:p w:rsidR="00175B22" w:rsidRPr="00175B22" w:rsidRDefault="00175B22" w:rsidP="00175B22">
      <w:pPr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textAlignment w:val="auto"/>
      </w:pPr>
      <w:r w:rsidRPr="00175B22">
        <w:t>W czasie eksploatacji ścieki socjalno- bytowe oraz wodę z płukania filtrów odprowadzić do gminnej sieci kanalizacyjnej - warunek spełniony poprzez zaprojektowanie odprowadzenia ścieków sanitarnych oraz wód z płukania filtrów do istniejącej kanalizacji sanitarnej;</w:t>
      </w:r>
    </w:p>
    <w:p w:rsidR="00175B22" w:rsidRPr="00175B22" w:rsidRDefault="00175B22" w:rsidP="00175B22">
      <w:pPr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textAlignment w:val="auto"/>
      </w:pPr>
      <w:r w:rsidRPr="00175B22">
        <w:t>Ścieki technologiczne z pomieszczenia reagentów odprowadzić do bezodpływowego szczelnego zbiornika neutralizacyjnego - warunek spełniony poprzez zaprojektowanie bezodpływowej szczelnej studni neutralizacyjnej o pojemności 2000 l;</w:t>
      </w:r>
    </w:p>
    <w:p w:rsidR="00175B22" w:rsidRPr="00175B22" w:rsidRDefault="00175B22" w:rsidP="00175B22">
      <w:pPr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textAlignment w:val="auto"/>
      </w:pPr>
      <w:r w:rsidRPr="00175B22">
        <w:t>W trakcie realizacji inwestycji ścieki bytowe należy odprowadzać do szczelnych zbiorników, przenośnych toalet oraz opróżniać ich zawartość przez wykwalifikowaną firmę posiadającą zgodę na usługi, asenizacyjne - warunek zostanie spełniony poprzez ustawienie na terenie zaplecza budowy przewoźnych toalet, zbiorniki będą systematycznie opróżniane przez wyspecjalizowane podmioty,</w:t>
      </w:r>
    </w:p>
    <w:p w:rsidR="00175B22" w:rsidRPr="00175B22" w:rsidRDefault="00175B22" w:rsidP="00175B22">
      <w:pPr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textAlignment w:val="auto"/>
      </w:pPr>
      <w:r w:rsidRPr="00175B22">
        <w:lastRenderedPageBreak/>
        <w:t>Należy przygotować na terenie inwestycji miejsca do selektywnej zbiórki odpadów wraz z ich odpowiednim zabezpieczeniem przed wpływem czynników atmosferycznych, w sposób uniemożliwiający przedostawanie się zanieczyszczeń (odcieków) do środowiska wodno – gruntowego - warunek zostanie spełniony poprzez wyposażenie terenu budowy i zaplecza w niezbędną ilość szczelnych i nieprzepuszczalnych pojemników, koszy i kontenerów do gromadzenia odpadów stałych, które sukcesywnie będą odbierane przez podmioty posiadające wymagane zezwolenia ,</w:t>
      </w:r>
    </w:p>
    <w:p w:rsidR="00175B22" w:rsidRPr="00175B22" w:rsidRDefault="00175B22" w:rsidP="00175B22">
      <w:pPr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textAlignment w:val="auto"/>
      </w:pPr>
      <w:r w:rsidRPr="00175B22">
        <w:t>Należy dokonywać okresowych przeglądów instalacji gwarantujących sprawność ich funkcjonowania i tym samym ograniczenie ryzyka awarii mogącej skutkować zanieczyszczeniem środowiska - warunek spełniony ze względu na sposób użytkowania obiektu i jego monitoring oraz prowadzenie okresowych kontroli, przeglądów i konserwacji przez Inwestora ,</w:t>
      </w:r>
    </w:p>
    <w:p w:rsidR="00175B22" w:rsidRPr="00175B22" w:rsidRDefault="00175B22" w:rsidP="00175B22">
      <w:pPr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textAlignment w:val="auto"/>
      </w:pPr>
      <w:r w:rsidRPr="00175B22">
        <w:t>W przypadku konieczności odwodnienia wykopów należy stosować igłofiltry lub pompy przenośne nie powodując trwałego obniżenia poziomu wód gruntowych, a wody z odwodnienia zagospodarować na własnym terenie po uzyskaniu stosownych zezwoleń, nie powodując podtopień i zalania działek sąsiednich - warunek spełniony poprzez odprowadzanie wód z wykopów do kanalizacji sanitarnej będącej w eksploatacji Inwestora.</w:t>
      </w:r>
    </w:p>
    <w:p w:rsidR="00C87939" w:rsidRDefault="00175B22" w:rsidP="00BA774D">
      <w:pPr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textAlignment w:val="auto"/>
      </w:pPr>
      <w:r w:rsidRPr="00175B22">
        <w:t>Uporządkowanie terenu po zakończeniu budowy - po zakończeniu robót teren zostanie oczyszczony i uporządkowany</w:t>
      </w:r>
      <w:r>
        <w:t>.</w:t>
      </w:r>
    </w:p>
    <w:p w:rsidR="00C87939" w:rsidRDefault="00C87939" w:rsidP="007864A1">
      <w:pPr>
        <w:jc w:val="both"/>
      </w:pPr>
    </w:p>
    <w:p w:rsidR="00C87939" w:rsidRDefault="00C87939" w:rsidP="007864A1">
      <w:pPr>
        <w:jc w:val="both"/>
      </w:pPr>
    </w:p>
    <w:p w:rsidR="00BC0732" w:rsidRPr="00364EA5" w:rsidRDefault="00BC0732" w:rsidP="007864A1">
      <w:pPr>
        <w:jc w:val="both"/>
        <w:rPr>
          <w:rStyle w:val="Domylnaczcionkaakapitu2"/>
        </w:rPr>
      </w:pPr>
      <w:r w:rsidRPr="00F7522E">
        <w:t>Obszar oddziaływania obiektu, o którym mowa w art. 28 ust. 2 us</w:t>
      </w:r>
      <w:r w:rsidRPr="00F7522E">
        <w:softHyphen/>
        <w:t xml:space="preserve">tawy - Prawo budowlane obejmuje nieruchomości </w:t>
      </w:r>
      <w:r w:rsidRPr="00F7522E">
        <w:rPr>
          <w:rStyle w:val="Domylnaczcionkaakapitu2"/>
        </w:rPr>
        <w:t>nr ew</w:t>
      </w:r>
      <w:r w:rsidR="00EE14CC">
        <w:rPr>
          <w:rStyle w:val="Domylnaczcionkaakapitu2"/>
        </w:rPr>
        <w:t>.</w:t>
      </w:r>
      <w:r w:rsidR="00364EA5">
        <w:rPr>
          <w:rStyle w:val="Domylnaczcionkaakapitu2"/>
        </w:rPr>
        <w:t xml:space="preserve"> </w:t>
      </w:r>
      <w:r w:rsidR="007864A1">
        <w:rPr>
          <w:color w:val="000000"/>
        </w:rPr>
        <w:t>119/11, 119/10, 117/4, 119/67, 119/66,                                                          388/1,</w:t>
      </w:r>
      <w:r w:rsidR="007864A1">
        <w:rPr>
          <w:b/>
          <w:color w:val="000000"/>
        </w:rPr>
        <w:t xml:space="preserve">  </w:t>
      </w:r>
      <w:r w:rsidR="007864A1">
        <w:rPr>
          <w:color w:val="000000"/>
        </w:rPr>
        <w:t>141/2,</w:t>
      </w:r>
      <w:r w:rsidR="007864A1">
        <w:rPr>
          <w:b/>
          <w:color w:val="000000"/>
        </w:rPr>
        <w:t xml:space="preserve"> </w:t>
      </w:r>
      <w:r w:rsidR="00F7522E" w:rsidRPr="00F7522E">
        <w:rPr>
          <w:rStyle w:val="Domylnaczcionkaakapitu2"/>
        </w:rPr>
        <w:t>w obrębie ew.</w:t>
      </w:r>
      <w:r w:rsidR="00575259">
        <w:rPr>
          <w:rStyle w:val="Domylnaczcionkaakapitu2"/>
        </w:rPr>
        <w:t xml:space="preserve"> 0010 Głosków</w:t>
      </w:r>
      <w:r w:rsidR="00F7522E" w:rsidRPr="00F7522E">
        <w:rPr>
          <w:rStyle w:val="Domylnaczcionkaakapitu2"/>
        </w:rPr>
        <w:t>, w jednostce ewidencyjnej</w:t>
      </w:r>
      <w:r w:rsidR="00C447F1">
        <w:rPr>
          <w:rStyle w:val="Domylnaczcionkaakapitu2"/>
        </w:rPr>
        <w:t xml:space="preserve"> P</w:t>
      </w:r>
      <w:r w:rsidR="00575259">
        <w:rPr>
          <w:rStyle w:val="Domylnaczcionkaakapitu2"/>
        </w:rPr>
        <w:t>iaseczno -  obszar wiejski</w:t>
      </w:r>
      <w:r w:rsidRPr="00F7522E">
        <w:rPr>
          <w:rStyle w:val="Domylnaczcionkaakapitu2"/>
        </w:rPr>
        <w:t>, zatem</w:t>
      </w:r>
      <w:r w:rsidR="00364EA5">
        <w:rPr>
          <w:rStyle w:val="Domylnaczcionkaakapitu2"/>
        </w:rPr>
        <w:t xml:space="preserve"> zgodnie z art. 61 § 4  k.p.a., </w:t>
      </w:r>
      <w:r w:rsidR="00364EA5" w:rsidRPr="00364EA5">
        <w:rPr>
          <w:rStyle w:val="Domylnaczcionkaakapitu2"/>
        </w:rPr>
        <w:t xml:space="preserve">w dniu </w:t>
      </w:r>
      <w:r w:rsidR="007864A1">
        <w:rPr>
          <w:rStyle w:val="Domylnaczcionkaakapitu2"/>
        </w:rPr>
        <w:t xml:space="preserve">8 maja </w:t>
      </w:r>
      <w:r w:rsidR="00364EA5" w:rsidRPr="00364EA5">
        <w:rPr>
          <w:rStyle w:val="Domylnaczcionkaakapitu2"/>
        </w:rPr>
        <w:t>2023 r. organ d</w:t>
      </w:r>
      <w:r w:rsidR="007864A1">
        <w:rPr>
          <w:rStyle w:val="Domylnaczcionkaakapitu2"/>
        </w:rPr>
        <w:t>okonał zawiadomienia właścicieli działek</w:t>
      </w:r>
      <w:r w:rsidR="005A27C6">
        <w:rPr>
          <w:rStyle w:val="Domylnaczcionkaakapitu2"/>
        </w:rPr>
        <w:t xml:space="preserve"> oraz pełnomocnika inwesto</w:t>
      </w:r>
      <w:r w:rsidR="00A640B2">
        <w:rPr>
          <w:rStyle w:val="Domylnaczcionkaakapitu2"/>
        </w:rPr>
        <w:t>r</w:t>
      </w:r>
      <w:r w:rsidR="005A27C6">
        <w:rPr>
          <w:rStyle w:val="Domylnaczcionkaakapitu2"/>
        </w:rPr>
        <w:t>a</w:t>
      </w:r>
      <w:r w:rsidR="00364EA5" w:rsidRPr="00364EA5">
        <w:rPr>
          <w:rStyle w:val="Domylnaczcionkaakapitu2"/>
        </w:rPr>
        <w:t xml:space="preserve"> o wszczętym postępowaniu w przedmiotowej sprawie.</w:t>
      </w:r>
    </w:p>
    <w:p w:rsidR="00364EA5" w:rsidRPr="00F7522E" w:rsidRDefault="00364EA5" w:rsidP="00B121F8">
      <w:pPr>
        <w:ind w:firstLine="708"/>
        <w:jc w:val="both"/>
      </w:pPr>
    </w:p>
    <w:p w:rsidR="00BC0732" w:rsidRDefault="00BC0732">
      <w:pPr>
        <w:ind w:firstLine="300"/>
        <w:jc w:val="both"/>
      </w:pPr>
      <w:r>
        <w:tab/>
        <w:t xml:space="preserve">Wobec stwierdzenia kompletności wniosku pod względem formalnym, dokonano sprawdzenia wniosku pod względem materialnoprawnym zgodnie z art. 35 ust. 1 ustawy                - Prawo budowlane </w:t>
      </w:r>
      <w:r>
        <w:rPr>
          <w:rStyle w:val="Domylnaczcionkaakapitu2"/>
          <w:bCs/>
        </w:rPr>
        <w:t>tj.:</w:t>
      </w:r>
    </w:p>
    <w:p w:rsidR="00BC0732" w:rsidRDefault="00BC0732">
      <w:pPr>
        <w:pStyle w:val="Akapitzlist"/>
        <w:numPr>
          <w:ilvl w:val="0"/>
          <w:numId w:val="12"/>
        </w:numPr>
        <w:suppressAutoHyphens w:val="0"/>
        <w:jc w:val="both"/>
      </w:pPr>
      <w:r>
        <w:rPr>
          <w:rFonts w:ascii="Times New Roman" w:hAnsi="Times New Roman"/>
          <w:szCs w:val="24"/>
        </w:rPr>
        <w:t>zgodność projektu zagospodarowania działki lub terenu oraz projektu architektoniczno-budowlanego z:</w:t>
      </w:r>
    </w:p>
    <w:p w:rsidR="00BC0732" w:rsidRPr="005C6910" w:rsidRDefault="00BC0732" w:rsidP="005C6910">
      <w:pPr>
        <w:pStyle w:val="Akapitzlist"/>
        <w:numPr>
          <w:ilvl w:val="0"/>
          <w:numId w:val="13"/>
        </w:numPr>
        <w:jc w:val="both"/>
      </w:pPr>
      <w:r>
        <w:rPr>
          <w:rFonts w:ascii="Times New Roman" w:hAnsi="Times New Roman"/>
          <w:szCs w:val="24"/>
        </w:rPr>
        <w:t>ustaleniami miejscowego planu zagospodarowania przestrzennego</w:t>
      </w:r>
      <w:r w:rsidR="00B042E2">
        <w:rPr>
          <w:rFonts w:ascii="Times New Roman" w:hAnsi="Times New Roman"/>
          <w:szCs w:val="24"/>
        </w:rPr>
        <w:t xml:space="preserve"> wynikają</w:t>
      </w:r>
      <w:r w:rsidR="00090683">
        <w:rPr>
          <w:rFonts w:ascii="Times New Roman" w:hAnsi="Times New Roman"/>
          <w:szCs w:val="24"/>
        </w:rPr>
        <w:t>cymi z uchwały</w:t>
      </w:r>
      <w:r w:rsidR="00B042E2">
        <w:rPr>
          <w:rFonts w:ascii="Times New Roman" w:hAnsi="Times New Roman"/>
          <w:szCs w:val="24"/>
        </w:rPr>
        <w:t xml:space="preserve"> nr</w:t>
      </w:r>
      <w:r w:rsidR="007864A1">
        <w:rPr>
          <w:rFonts w:ascii="Times New Roman" w:hAnsi="Times New Roman"/>
          <w:szCs w:val="24"/>
        </w:rPr>
        <w:t xml:space="preserve"> </w:t>
      </w:r>
      <w:r w:rsidR="007864A1">
        <w:rPr>
          <w:rFonts w:ascii="Times New Roman" w:hAnsi="Times New Roman" w:cs="Times New Roman"/>
        </w:rPr>
        <w:t>765/XXVII/2008 Rady Miejskiej w Piasecznie z dnia 15 października 2008 r. w sprawie uchwalenia miejscowego planu zagospodarowania przestrzennego części wsi Głosków  (Dz. Urz. Woj. Maz. Nr 214 z  2008 r. poz. 8949), gdzie dla terenu inwestycyjnego przewidziano tereny urządzeń i obiektów wodociągowych, oznaczone symbolem 1W</w:t>
      </w:r>
      <w:r w:rsidR="00B042E2" w:rsidRPr="00FB7FEC">
        <w:rPr>
          <w:rStyle w:val="Domylnaczcionkaakapitu2"/>
          <w:rFonts w:ascii="Times New Roman" w:hAnsi="Times New Roman"/>
          <w:szCs w:val="24"/>
        </w:rPr>
        <w:t>;</w:t>
      </w:r>
      <w:r w:rsidR="00B042E2">
        <w:rPr>
          <w:rStyle w:val="Domylnaczcionkaakapitu2"/>
          <w:rFonts w:ascii="Times New Roman" w:hAnsi="Times New Roman"/>
          <w:color w:val="FF6600"/>
          <w:szCs w:val="24"/>
        </w:rPr>
        <w:t xml:space="preserve"> </w:t>
      </w:r>
      <w:r>
        <w:rPr>
          <w:rFonts w:ascii="Times New Roman" w:hAnsi="Times New Roman"/>
          <w:szCs w:val="24"/>
        </w:rPr>
        <w:t>i innymi aktami prawa miejscowego</w:t>
      </w:r>
      <w:r w:rsidR="005C6910">
        <w:rPr>
          <w:rStyle w:val="Domylnaczcionkaakapitu2"/>
          <w:rFonts w:ascii="Times New Roman" w:hAnsi="Times New Roman"/>
          <w:color w:val="000000"/>
          <w:szCs w:val="24"/>
        </w:rPr>
        <w:t>;</w:t>
      </w:r>
    </w:p>
    <w:p w:rsidR="00BC0732" w:rsidRDefault="00BC0732">
      <w:pPr>
        <w:pStyle w:val="Akapitzlist"/>
        <w:ind w:left="777"/>
        <w:jc w:val="both"/>
      </w:pPr>
      <w:r>
        <w:rPr>
          <w:rStyle w:val="alb"/>
          <w:rFonts w:ascii="Times New Roman" w:hAnsi="Times New Roman"/>
          <w:szCs w:val="24"/>
        </w:rPr>
        <w:t xml:space="preserve">b) </w:t>
      </w:r>
      <w:r w:rsidR="005C6910">
        <w:rPr>
          <w:rFonts w:ascii="Times New Roman" w:hAnsi="Times New Roman"/>
          <w:szCs w:val="24"/>
        </w:rPr>
        <w:t>wymaganiami ochrony środowiska;</w:t>
      </w:r>
    </w:p>
    <w:p w:rsidR="00BC0732" w:rsidRDefault="00BC0732">
      <w:pPr>
        <w:pStyle w:val="Akapitzlist"/>
        <w:numPr>
          <w:ilvl w:val="0"/>
          <w:numId w:val="14"/>
        </w:numPr>
        <w:jc w:val="both"/>
      </w:pPr>
      <w:r>
        <w:rPr>
          <w:rFonts w:ascii="Times New Roman" w:hAnsi="Times New Roman"/>
          <w:szCs w:val="24"/>
        </w:rPr>
        <w:t>zgodność projektu zagospodarowania działki lub terenu z przepisami, w tym techniczno-budowlanymi;</w:t>
      </w:r>
    </w:p>
    <w:p w:rsidR="00BC0732" w:rsidRDefault="00BC0732">
      <w:pPr>
        <w:pStyle w:val="Akapitzlist"/>
        <w:numPr>
          <w:ilvl w:val="0"/>
          <w:numId w:val="14"/>
        </w:numPr>
        <w:jc w:val="both"/>
      </w:pPr>
      <w:r>
        <w:rPr>
          <w:rFonts w:ascii="Times New Roman" w:hAnsi="Times New Roman"/>
          <w:szCs w:val="24"/>
        </w:rPr>
        <w:t>kompletność projektu zagospodarowania działki lub terenu oraz projektu architektoniczno-budowlanego, w tym dołączenie:</w:t>
      </w:r>
    </w:p>
    <w:p w:rsidR="00BC0732" w:rsidRDefault="0062442C">
      <w:pPr>
        <w:pStyle w:val="Akapitzlist"/>
        <w:ind w:left="777"/>
        <w:jc w:val="both"/>
      </w:pPr>
      <w:r>
        <w:rPr>
          <w:rStyle w:val="alb"/>
          <w:rFonts w:ascii="Times New Roman" w:hAnsi="Times New Roman"/>
          <w:szCs w:val="24"/>
        </w:rPr>
        <w:t>c</w:t>
      </w:r>
      <w:r w:rsidR="00BC0732">
        <w:rPr>
          <w:rStyle w:val="alb"/>
          <w:rFonts w:ascii="Times New Roman" w:hAnsi="Times New Roman"/>
          <w:szCs w:val="24"/>
        </w:rPr>
        <w:t xml:space="preserve">) </w:t>
      </w:r>
      <w:r w:rsidR="00BC0732">
        <w:rPr>
          <w:rFonts w:ascii="Times New Roman" w:hAnsi="Times New Roman"/>
          <w:szCs w:val="24"/>
        </w:rPr>
        <w:t>kopii zaświadczenia, o którym mowa w art. 12 ust. 7, dotyczącego projektanta                         i projektanta sprawdzającego;</w:t>
      </w:r>
    </w:p>
    <w:p w:rsidR="00BC0732" w:rsidRDefault="00BC0732">
      <w:pPr>
        <w:pStyle w:val="Akapitzlist"/>
        <w:ind w:left="0"/>
        <w:jc w:val="both"/>
      </w:pPr>
      <w:r>
        <w:rPr>
          <w:rFonts w:ascii="Times New Roman" w:hAnsi="Times New Roman"/>
          <w:szCs w:val="24"/>
        </w:rPr>
        <w:t xml:space="preserve">       3a.  dołączenie:</w:t>
      </w:r>
    </w:p>
    <w:p w:rsidR="00BC0732" w:rsidRDefault="00BC0732">
      <w:pPr>
        <w:ind w:left="777"/>
        <w:jc w:val="both"/>
      </w:pPr>
      <w:r>
        <w:lastRenderedPageBreak/>
        <w:t>a) wymaganych opinii, uzgodnień, pozwoleń i sprawdzeń,</w:t>
      </w:r>
    </w:p>
    <w:p w:rsidR="00BC0732" w:rsidRDefault="00BC0732">
      <w:pPr>
        <w:ind w:left="777"/>
        <w:jc w:val="both"/>
      </w:pPr>
      <w:r>
        <w:t>b) oświadczeń, o których mowa w art. 33 ust. 2 pkt 9 i 10;</w:t>
      </w:r>
    </w:p>
    <w:p w:rsidR="00BC0732" w:rsidRDefault="00BC0732">
      <w:pPr>
        <w:numPr>
          <w:ilvl w:val="0"/>
          <w:numId w:val="14"/>
        </w:numPr>
        <w:jc w:val="both"/>
      </w:pPr>
      <w:bookmarkStart w:id="2" w:name="ref-przyp_46"/>
      <w:bookmarkEnd w:id="2"/>
      <w:r>
        <w:t>  posiadanie przez projektanta i projektanta sprawdzającego odpowiednich uprawnień budowlanych na podstawie:</w:t>
      </w:r>
    </w:p>
    <w:p w:rsidR="00BC0732" w:rsidRDefault="00BC0732">
      <w:pPr>
        <w:ind w:left="777"/>
        <w:jc w:val="both"/>
      </w:pPr>
      <w:r>
        <w:t>a) kopii dokumentów, o których mowa w art. 34 ust. 3d pkt 1 - w przypadku uprawnień niewpisanych do centralnego rejestru osób posiadających uprawnienia budowlane,</w:t>
      </w:r>
    </w:p>
    <w:p w:rsidR="00BC0732" w:rsidRDefault="00BC0732">
      <w:pPr>
        <w:ind w:left="777"/>
        <w:jc w:val="both"/>
      </w:pPr>
      <w:r>
        <w:t>b) danych w centralnym rejestrze osób posiadających uprawnienia budowlane – w przypadku uprawnień wpisanych do tego rejestru;</w:t>
      </w:r>
    </w:p>
    <w:p w:rsidR="00BC0732" w:rsidRDefault="0062442C" w:rsidP="0062442C">
      <w:pPr>
        <w:ind w:left="851" w:hanging="434"/>
        <w:jc w:val="both"/>
      </w:pPr>
      <w:r>
        <w:t>4a.</w:t>
      </w:r>
      <w:r w:rsidR="00BC0732">
        <w:t> przynależność projektanta i projektanta sprawdzającego do właściwej izby samorządu zawodowego na podstawie:</w:t>
      </w:r>
    </w:p>
    <w:p w:rsidR="00BC0732" w:rsidRDefault="00BC0732">
      <w:pPr>
        <w:ind w:left="777"/>
        <w:jc w:val="both"/>
      </w:pPr>
      <w:r>
        <w:t>a) zaświadczenia, o którym mowa w art. 12 ust. 7 - w przypadku osób niewpisanych do centralnego rejestru osób posiadających uprawnienia budowlane,</w:t>
      </w:r>
    </w:p>
    <w:p w:rsidR="00BC0732" w:rsidRDefault="00BC0732">
      <w:pPr>
        <w:ind w:left="777"/>
        <w:jc w:val="both"/>
      </w:pPr>
      <w:r>
        <w:t>b) danych w centralnym rejestrze osób posiadających uprawnienia budowlane – w przypadku osób wpisanych do tego rejestru.</w:t>
      </w:r>
    </w:p>
    <w:p w:rsidR="00090683" w:rsidRDefault="00090683" w:rsidP="002551CC">
      <w:pPr>
        <w:jc w:val="both"/>
      </w:pPr>
    </w:p>
    <w:p w:rsidR="007864A1" w:rsidRDefault="007864A1" w:rsidP="007864A1">
      <w:pPr>
        <w:pStyle w:val="Standard"/>
        <w:tabs>
          <w:tab w:val="right" w:pos="-26911"/>
          <w:tab w:val="left" w:pos="-26787"/>
        </w:tabs>
        <w:jc w:val="both"/>
      </w:pPr>
      <w:r>
        <w:t xml:space="preserve">             Wobec stwierdzenia naruszeń w powyższym zakresie,  działając na podstawie art. 35 ust. 2 ustawy - Prawo budowlane, Starosta Piaseczyński  postanowieniem z dnia 18 maja 2023 r. nałożył na inwestora obowiązek uzupełnienia, w terminie 60 dni, następujących braków i nieprawidłowości w przedłożonych egzemplarzach projektu poprzez:</w:t>
      </w:r>
    </w:p>
    <w:p w:rsidR="007864A1" w:rsidRPr="00371475" w:rsidRDefault="007864A1" w:rsidP="007864A1">
      <w:pPr>
        <w:pStyle w:val="Akapitzlist"/>
        <w:widowControl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jc w:val="both"/>
        <w:textAlignment w:val="auto"/>
        <w:rPr>
          <w:rFonts w:ascii="Times New Roman" w:hAnsi="Times New Roman" w:cs="Times New Roman"/>
        </w:rPr>
      </w:pPr>
      <w:r w:rsidRPr="00371475">
        <w:rPr>
          <w:rFonts w:ascii="Times New Roman" w:hAnsi="Times New Roman" w:cs="Times New Roman"/>
        </w:rPr>
        <w:t xml:space="preserve">W związku z lokalizacją na działce inwestycyjnej nr ew. 119/11 słupowej stacji transformatorowej, oraz słupa z napowietrzną siecią elektroenergetyczną, projekt należy uzupełnić o uzgodnienie </w:t>
      </w:r>
      <w:r>
        <w:rPr>
          <w:rFonts w:ascii="Times New Roman" w:hAnsi="Times New Roman" w:cs="Times New Roman"/>
        </w:rPr>
        <w:t>z zarządcą</w:t>
      </w:r>
      <w:r w:rsidRPr="00371475">
        <w:rPr>
          <w:rFonts w:ascii="Times New Roman" w:hAnsi="Times New Roman" w:cs="Times New Roman"/>
        </w:rPr>
        <w:t xml:space="preserve"> tych sieci, jednocześnie wykazując spełnienie wynikających z niego obowiązków;</w:t>
      </w:r>
    </w:p>
    <w:p w:rsidR="007864A1" w:rsidRPr="00371475" w:rsidRDefault="007864A1" w:rsidP="007864A1">
      <w:pPr>
        <w:pStyle w:val="Akapitzlist"/>
        <w:widowControl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jc w:val="both"/>
        <w:textAlignment w:val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Projekt należy doprowadzić do zgodności z § 18 rozporządzenia Ministra Rozwoju z dnia 11 września 2020 r. w sprawie szczegółowego zakresu i formy projektu budowlanego ( t.j. Dz. U. z 2022 r. poz. 1679 ze zm.), który stanowi: „</w:t>
      </w:r>
      <w:r w:rsidRPr="00371475">
        <w:rPr>
          <w:rFonts w:ascii="Times New Roman" w:hAnsi="Times New Roman" w:cs="Times New Roman"/>
          <w:i/>
        </w:rPr>
        <w:t>Informacja o obszarze oddziaływania obiektu zawiera:</w:t>
      </w:r>
    </w:p>
    <w:p w:rsidR="007864A1" w:rsidRPr="00371475" w:rsidRDefault="007864A1" w:rsidP="007864A1">
      <w:pPr>
        <w:pStyle w:val="Akapitzlist"/>
        <w:widowControl/>
        <w:suppressAutoHyphens w:val="0"/>
        <w:autoSpaceDE w:val="0"/>
        <w:ind w:left="831"/>
        <w:jc w:val="both"/>
        <w:textAlignment w:val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1)</w:t>
      </w:r>
      <w:r w:rsidRPr="00371475">
        <w:rPr>
          <w:rFonts w:ascii="Times New Roman" w:hAnsi="Times New Roman" w:cs="Times New Roman"/>
          <w:i/>
        </w:rPr>
        <w:t>wskazanie przepisów prawa, w oparciu o które dokonano określenia obszaru oddziaływania obiektu;</w:t>
      </w:r>
    </w:p>
    <w:p w:rsidR="007864A1" w:rsidRPr="00371475" w:rsidRDefault="007864A1" w:rsidP="007864A1">
      <w:pPr>
        <w:pStyle w:val="Akapitzlist"/>
        <w:widowControl/>
        <w:suppressAutoHyphens w:val="0"/>
        <w:autoSpaceDE w:val="0"/>
        <w:ind w:left="831"/>
        <w:jc w:val="both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2)</w:t>
      </w:r>
      <w:r w:rsidRPr="00371475">
        <w:rPr>
          <w:rFonts w:ascii="Times New Roman" w:hAnsi="Times New Roman" w:cs="Times New Roman"/>
          <w:i/>
        </w:rPr>
        <w:t>zasięg obszaru oddziaływania obiektu przedstawiony w formie opisowej lub graficznej albo informację, że obszar oddziaływania obiektu mieści się w całości na działce lub działkach, na których został zaprojektowany</w:t>
      </w:r>
      <w:r w:rsidRPr="00371475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” – informację o obszarze oddziaływania należy uzupełnić o wnioski dotyczącego istniejących studni głębinowych, jednoznacznie określając, czy oddziaływanie inwestycji w tej kwestii zamyka się w działce inwestycyjnej, czy też wykracza poza nią, gdyż nie zostało to napisane. Ponadto w części rysunkowej należy wrysować obszar ochrony pośredniej i bezpośredniej tych studni, jeżeli jest on wymagany przepisami odrębnymi;</w:t>
      </w:r>
    </w:p>
    <w:p w:rsidR="007864A1" w:rsidRDefault="007864A1" w:rsidP="007864A1">
      <w:pPr>
        <w:suppressAutoHyphens w:val="0"/>
        <w:autoSpaceDE w:val="0"/>
        <w:ind w:left="851" w:hanging="425"/>
        <w:jc w:val="both"/>
        <w:textAlignment w:val="auto"/>
      </w:pPr>
      <w:r>
        <w:t xml:space="preserve"> 3.  Należy pamiętać o parafowaniu dokonanych zmian i skreśleń w projekcie budowlanym przez właściwego projektanta z podaniem daty ich wprowadzenia, tak by w przyszłości nie powstały wątpliwości kto i kiedy je wprowadził.</w:t>
      </w:r>
    </w:p>
    <w:p w:rsidR="007864A1" w:rsidRDefault="007864A1">
      <w:pPr>
        <w:ind w:firstLine="708"/>
        <w:jc w:val="both"/>
      </w:pPr>
      <w:r>
        <w:t>W dniu 24 lipca 2023 r. pełnomocnik inwestora, w terminie na uzupełnienie powyższego postanowienie,  zawnioskował o jego zmianę w zakresie terminu na uzupełnienie braków i nieprawidłowości, wskazując termin do dnia 30 listopada 2023 r. W związku z tym tutejszy organ postanowieniem z dnia 26 lipca 2023 r. przychylając się do wniosku pełnomocnika inwestora, zmienił postanowienie z dnia 18 maja 2023 r. i jako termin dokonania ostatecznego uzupełnienia wskazał dzień 30 listopada 2023 r.</w:t>
      </w:r>
    </w:p>
    <w:p w:rsidR="007864A1" w:rsidRDefault="007864A1">
      <w:pPr>
        <w:ind w:firstLine="708"/>
        <w:jc w:val="both"/>
      </w:pPr>
      <w:r>
        <w:t>W dniu 20 września 2023 r. pełnomocnik inwestora złożył uzupełnienie do postan</w:t>
      </w:r>
      <w:r w:rsidR="00173C86">
        <w:t xml:space="preserve">owienia z dnia 18 maja 2023 r.. W związku z tym </w:t>
      </w:r>
      <w:r>
        <w:t>Starosta Piaseczyński przystąpił do</w:t>
      </w:r>
      <w:r w:rsidR="00173C86">
        <w:t xml:space="preserve"> </w:t>
      </w:r>
      <w:r w:rsidR="00173C86">
        <w:lastRenderedPageBreak/>
        <w:t>ponownej</w:t>
      </w:r>
      <w:r>
        <w:t xml:space="preserve"> analizy przedłożonej dokumentacji projektowej celem weryfikacji wypełnienia obowiązków </w:t>
      </w:r>
      <w:r w:rsidR="00173C86">
        <w:t>nałożonych powyższym postanowieniem, w wyniku czego jednoznacznie stwierdził spełnienie wszystkich wymagań.</w:t>
      </w:r>
    </w:p>
    <w:p w:rsidR="007864A1" w:rsidRDefault="007864A1">
      <w:pPr>
        <w:ind w:firstLine="708"/>
        <w:jc w:val="both"/>
      </w:pPr>
    </w:p>
    <w:p w:rsidR="00BC0732" w:rsidRDefault="00BC0732">
      <w:pPr>
        <w:ind w:firstLine="708"/>
        <w:jc w:val="both"/>
      </w:pPr>
      <w:r>
        <w:t>W związku z dostarczeniem przez inwestora wszelkich niezbędnych dokumentów i spełnieniem wymogów ustawowych, w tym również nałożonych przez załączone do projektu decyzje, opinie, i uzgodnienia, zgodnie z art. 35 ust. 4 ustawy Prawo budowlane stanowiącym, iż w razie spełnienia wymagań określonych w ust. 1 oraz w art. 32 ust. 4, właściwy organ nie może odmówić wydania decyzji o pozwoleniu na budowę, orzeczono, jak w sentencji.</w:t>
      </w:r>
    </w:p>
    <w:p w:rsidR="00BC0732" w:rsidRDefault="00BC0732">
      <w:pPr>
        <w:pStyle w:val="Nagwek3"/>
        <w:tabs>
          <w:tab w:val="left" w:pos="0"/>
        </w:tabs>
      </w:pPr>
      <w:r>
        <w:rPr>
          <w:rFonts w:ascii="Times New Roman" w:hAnsi="Times New Roman" w:cs="Times New Roman"/>
          <w:i w:val="0"/>
          <w:sz w:val="24"/>
          <w:szCs w:val="24"/>
          <w:u w:val="none"/>
        </w:rPr>
        <w:t>POUCZENIE</w:t>
      </w:r>
    </w:p>
    <w:p w:rsidR="00BC0732" w:rsidRDefault="00BC0732">
      <w:pPr>
        <w:ind w:firstLine="708"/>
        <w:jc w:val="both"/>
      </w:pPr>
      <w:r>
        <w:rPr>
          <w:b/>
        </w:rPr>
        <w:t>Od decyzji przysługuje odwołanie do Wojewody Mazowieckiego,                                                 za pośrednictwem organu, który wydał niniejszą decyzję (Starosta Piaseczyński,                            ul. Chyliczkowska 14, 05-500 Piaseczno), w terminie 14 dni od dnia jej doręczenia.</w:t>
      </w:r>
    </w:p>
    <w:p w:rsidR="00BC0732" w:rsidRDefault="00BC0732">
      <w:pPr>
        <w:ind w:firstLine="708"/>
        <w:jc w:val="both"/>
      </w:pPr>
      <w:r>
        <w:rPr>
          <w:b/>
        </w:rPr>
        <w:t>W trakcie biegu terminu do wniesienia odwołania strona może zrzec się prawa do wniesienia odwołania wobec organu administracji publicznej, który wydał decyzję.</w:t>
      </w:r>
    </w:p>
    <w:p w:rsidR="00BC0732" w:rsidRDefault="00BC0732" w:rsidP="00B121F8">
      <w:pPr>
        <w:jc w:val="both"/>
        <w:rPr>
          <w:b/>
        </w:rPr>
      </w:pPr>
      <w:r>
        <w:rPr>
          <w:b/>
        </w:rPr>
        <w:t>Z dniem doręczenia organowi administracji publicznej oświadczenia o zrzeczeniu się prawa do wniesienia odwołania przez ostatnią ze stron postępowania, decyzja staje się ostateczna i prawomocna.</w:t>
      </w:r>
    </w:p>
    <w:p w:rsidR="00173C86" w:rsidRDefault="00173C86" w:rsidP="00B121F8">
      <w:pPr>
        <w:jc w:val="both"/>
        <w:rPr>
          <w:b/>
        </w:rPr>
      </w:pPr>
    </w:p>
    <w:p w:rsidR="009F0C9D" w:rsidRDefault="009F0C9D" w:rsidP="00B121F8">
      <w:pPr>
        <w:jc w:val="both"/>
        <w:rPr>
          <w:b/>
        </w:rPr>
      </w:pPr>
    </w:p>
    <w:p w:rsidR="00BC0732" w:rsidRDefault="00BC0732">
      <w:pPr>
        <w:jc w:val="center"/>
      </w:pPr>
      <w:r>
        <w:rPr>
          <w:b/>
        </w:rPr>
        <w:t>ADNOTACJA DOTYCZĄCA OPŁATY SKARBOWEJ</w:t>
      </w:r>
    </w:p>
    <w:p w:rsidR="00BC0732" w:rsidRDefault="00BC0732">
      <w:pPr>
        <w:jc w:val="both"/>
        <w:rPr>
          <w:rStyle w:val="Domylnaczcionkaakapitu2"/>
        </w:rPr>
      </w:pPr>
      <w:r>
        <w:t xml:space="preserve">Zgodnie  z § 4 ust. 1 i 2 rozporządzenia Ministra Finansów z dnia 28 września 2007 r. w sprawie zapłaty opłaty skarbowej (Dz. U. nr 187, poz.1330) potwierdzam, że </w:t>
      </w:r>
      <w:r>
        <w:rPr>
          <w:rStyle w:val="Domylnaczcionkaakapitu2"/>
          <w:color w:val="000000"/>
        </w:rPr>
        <w:t>zgodnie z ustawą z dnia 16 listopada 2006 r. o opłacie skarbowej ( t.j. Dz. U. z 202</w:t>
      </w:r>
      <w:r w:rsidR="00B541D7">
        <w:rPr>
          <w:rStyle w:val="Domylnaczcionkaakapitu2"/>
          <w:color w:val="000000"/>
        </w:rPr>
        <w:t>2</w:t>
      </w:r>
      <w:r>
        <w:rPr>
          <w:rStyle w:val="Domylnaczcionkaakapitu2"/>
          <w:color w:val="000000"/>
        </w:rPr>
        <w:t xml:space="preserve">r., poz. </w:t>
      </w:r>
      <w:r w:rsidR="00B541D7">
        <w:rPr>
          <w:rStyle w:val="Domylnaczcionkaakapitu2"/>
          <w:color w:val="000000"/>
        </w:rPr>
        <w:t>2142</w:t>
      </w:r>
      <w:r>
        <w:rPr>
          <w:rStyle w:val="Domylnaczcionkaakapitu2"/>
          <w:color w:val="000000"/>
        </w:rPr>
        <w:t xml:space="preserve"> ze </w:t>
      </w:r>
      <w:r w:rsidRPr="005C6910">
        <w:rPr>
          <w:rStyle w:val="Domylnaczcionkaakapitu2"/>
        </w:rPr>
        <w:t xml:space="preserve">zm.), </w:t>
      </w:r>
      <w:r w:rsidR="009F0C9D">
        <w:rPr>
          <w:rStyle w:val="Domylnaczcionkaakapitu2"/>
        </w:rPr>
        <w:t xml:space="preserve">podmiot wniósł opłatę w wysokości </w:t>
      </w:r>
      <w:r w:rsidR="00173C86">
        <w:rPr>
          <w:rStyle w:val="Domylnaczcionkaakapitu2"/>
        </w:rPr>
        <w:t xml:space="preserve">352,00 zł za wydanie pozwolenia </w:t>
      </w:r>
    </w:p>
    <w:p w:rsidR="00E5247C" w:rsidRDefault="00E5247C">
      <w:pPr>
        <w:jc w:val="both"/>
        <w:rPr>
          <w:rStyle w:val="Domylnaczcionkaakapitu2"/>
        </w:rPr>
      </w:pPr>
    </w:p>
    <w:p w:rsidR="00B121F8" w:rsidRDefault="00B121F8">
      <w:pPr>
        <w:jc w:val="both"/>
        <w:rPr>
          <w:rStyle w:val="Domylnaczcionkaakapitu2"/>
        </w:rPr>
      </w:pPr>
    </w:p>
    <w:tbl>
      <w:tblPr>
        <w:tblW w:w="8222" w:type="dxa"/>
        <w:tblLook w:val="04A0" w:firstRow="1" w:lastRow="0" w:firstColumn="1" w:lastColumn="0" w:noHBand="0" w:noVBand="1"/>
      </w:tblPr>
      <w:tblGrid>
        <w:gridCol w:w="4111"/>
        <w:gridCol w:w="4111"/>
      </w:tblGrid>
      <w:tr w:rsidR="00A107DF" w:rsidRPr="00EB3EB1" w:rsidTr="00EB3EB1">
        <w:trPr>
          <w:trHeight w:val="2581"/>
        </w:trPr>
        <w:tc>
          <w:tcPr>
            <w:tcW w:w="4111" w:type="dxa"/>
            <w:shd w:val="clear" w:color="auto" w:fill="auto"/>
          </w:tcPr>
          <w:p w:rsidR="00A107DF" w:rsidRPr="00EB3EB1" w:rsidRDefault="00D11B73" w:rsidP="00EB3EB1">
            <w:pPr>
              <w:jc w:val="center"/>
              <w:rPr>
                <w:rFonts w:ascii="Calibri" w:eastAsia="Calibri" w:hAnsi="Calibri"/>
                <w:caps/>
                <w:sz w:val="22"/>
                <w:szCs w:val="22"/>
              </w:rPr>
            </w:pPr>
            <w:r>
              <w:rPr>
                <w:rFonts w:ascii="Calibri" w:eastAsia="Calibri" w:hAnsi="Calibri"/>
                <w:noProof/>
                <w:sz w:val="22"/>
                <w:szCs w:val="22"/>
                <w:lang w:eastAsia="pl-PL"/>
              </w:rPr>
              <w:drawing>
                <wp:inline distT="0" distB="0" distL="0" distR="0">
                  <wp:extent cx="1476375" cy="1304925"/>
                  <wp:effectExtent l="0" t="0" r="9525" b="9525"/>
                  <wp:docPr id="1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shd w:val="clear" w:color="auto" w:fill="auto"/>
          </w:tcPr>
          <w:p w:rsidR="00A107DF" w:rsidRPr="00EB3EB1" w:rsidRDefault="00A107DF" w:rsidP="00EB3EB1">
            <w:pPr>
              <w:jc w:val="center"/>
              <w:rPr>
                <w:rFonts w:ascii="Calibri" w:eastAsia="Calibri" w:hAnsi="Calibri"/>
                <w:caps/>
                <w:sz w:val="22"/>
                <w:szCs w:val="22"/>
              </w:rPr>
            </w:pPr>
            <w:r w:rsidRPr="00EB3EB1">
              <w:rPr>
                <w:rFonts w:ascii="Calibri" w:eastAsia="Calibri" w:hAnsi="Calibri"/>
                <w:caps/>
                <w:sz w:val="22"/>
                <w:szCs w:val="22"/>
              </w:rPr>
              <w:t>opatrzone kwalifikowanym podpisem elektronicznym</w:t>
            </w:r>
          </w:p>
          <w:p w:rsidR="00A107DF" w:rsidRPr="00EB3EB1" w:rsidRDefault="00A107DF" w:rsidP="00EB3EB1">
            <w:pPr>
              <w:jc w:val="center"/>
              <w:rPr>
                <w:rFonts w:ascii="Calibri" w:eastAsia="Calibri" w:hAnsi="Calibri"/>
                <w:caps/>
                <w:sz w:val="22"/>
                <w:szCs w:val="22"/>
              </w:rPr>
            </w:pPr>
          </w:p>
          <w:p w:rsidR="00A107DF" w:rsidRPr="00EB3EB1" w:rsidRDefault="00A107DF" w:rsidP="00EB3EB1">
            <w:pPr>
              <w:spacing w:after="120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EB3EB1">
              <w:rPr>
                <w:rFonts w:ascii="Calibri" w:eastAsia="Calibri" w:hAnsi="Calibri"/>
                <w:sz w:val="22"/>
                <w:szCs w:val="22"/>
              </w:rPr>
              <w:t>Z up. Starosty Piaseczyńskiego</w:t>
            </w:r>
          </w:p>
          <w:p w:rsidR="00A107DF" w:rsidRPr="00EB3EB1" w:rsidRDefault="00A107DF" w:rsidP="00EB3EB1">
            <w:pPr>
              <w:jc w:val="center"/>
              <w:rPr>
                <w:rFonts w:ascii="Calibri" w:eastAsia="Calibri" w:hAnsi="Calibri"/>
                <w:i/>
              </w:rPr>
            </w:pPr>
            <w:r w:rsidRPr="00EB3EB1">
              <w:rPr>
                <w:rFonts w:ascii="Calibri" w:eastAsia="Calibri" w:hAnsi="Calibri"/>
                <w:i/>
              </w:rPr>
              <w:t>mgr inż. Sylwia Moszczyńska-Staś</w:t>
            </w:r>
          </w:p>
          <w:p w:rsidR="00A107DF" w:rsidRPr="00EB3EB1" w:rsidRDefault="00A107DF" w:rsidP="00EB3EB1">
            <w:pPr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EB3EB1">
              <w:rPr>
                <w:rFonts w:ascii="Calibri" w:eastAsia="Calibri" w:hAnsi="Calibri"/>
                <w:sz w:val="22"/>
                <w:szCs w:val="22"/>
              </w:rPr>
              <w:t>Naczelnik Wydziału</w:t>
            </w:r>
          </w:p>
          <w:p w:rsidR="00A107DF" w:rsidRPr="00EB3EB1" w:rsidRDefault="00A107DF" w:rsidP="00EB3EB1">
            <w:pPr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EB3EB1">
              <w:rPr>
                <w:rFonts w:ascii="Calibri" w:eastAsia="Calibri" w:hAnsi="Calibri"/>
                <w:sz w:val="22"/>
                <w:szCs w:val="22"/>
              </w:rPr>
              <w:t>Architektoniczno-Budowlanego</w:t>
            </w:r>
          </w:p>
          <w:p w:rsidR="00A107DF" w:rsidRPr="00EB3EB1" w:rsidRDefault="00A107DF" w:rsidP="00EB3EB1">
            <w:pPr>
              <w:jc w:val="center"/>
              <w:rPr>
                <w:rFonts w:ascii="Calibri" w:eastAsia="Calibri" w:hAnsi="Calibri"/>
                <w:caps/>
                <w:sz w:val="22"/>
                <w:szCs w:val="22"/>
              </w:rPr>
            </w:pPr>
          </w:p>
        </w:tc>
      </w:tr>
    </w:tbl>
    <w:p w:rsidR="00575259" w:rsidRDefault="00575259">
      <w:pPr>
        <w:jc w:val="both"/>
        <w:rPr>
          <w:rStyle w:val="Domylnaczcionkaakapitu2"/>
        </w:rPr>
      </w:pPr>
    </w:p>
    <w:p w:rsidR="00575259" w:rsidRDefault="00575259">
      <w:pPr>
        <w:jc w:val="both"/>
        <w:rPr>
          <w:rStyle w:val="Domylnaczcionkaakapitu2"/>
        </w:rPr>
      </w:pPr>
    </w:p>
    <w:p w:rsidR="007A76A5" w:rsidRDefault="00BC0732">
      <w:pPr>
        <w:jc w:val="both"/>
        <w:rPr>
          <w:rStyle w:val="Domylnaczcionkaakapitu2"/>
          <w:color w:val="7030A0"/>
        </w:rPr>
      </w:pPr>
      <w:r>
        <w:rPr>
          <w:rStyle w:val="Domylnaczcionkaakapitu2"/>
          <w:b/>
        </w:rPr>
        <w:t>Załącznik:</w:t>
      </w:r>
      <w:r>
        <w:t xml:space="preserve">  </w:t>
      </w:r>
      <w:r w:rsidRPr="005C6910">
        <w:t xml:space="preserve">zatwierdzony projekt </w:t>
      </w:r>
      <w:r w:rsidRPr="005C6910">
        <w:rPr>
          <w:rStyle w:val="Domylnaczcionkaakapitu2"/>
        </w:rPr>
        <w:t>zagospodarowania terenu i architektoniczno-budowlany</w:t>
      </w:r>
      <w:r>
        <w:rPr>
          <w:rStyle w:val="Domylnaczcionkaakapitu2"/>
          <w:color w:val="7030A0"/>
        </w:rPr>
        <w:t xml:space="preserve">   </w:t>
      </w:r>
    </w:p>
    <w:p w:rsidR="00E5247C" w:rsidRDefault="00E5247C">
      <w:pPr>
        <w:jc w:val="both"/>
      </w:pPr>
    </w:p>
    <w:p w:rsidR="007A76A5" w:rsidRDefault="007A76A5" w:rsidP="007A76A5">
      <w:pPr>
        <w:pStyle w:val="Standard"/>
        <w:jc w:val="both"/>
      </w:pPr>
      <w:r>
        <w:rPr>
          <w:b/>
          <w:bCs/>
        </w:rPr>
        <w:t>Otrzymują</w:t>
      </w:r>
      <w:r>
        <w:t xml:space="preserve"> </w:t>
      </w:r>
      <w:r>
        <w:rPr>
          <w:b/>
        </w:rPr>
        <w:t>(strony postępowania):</w:t>
      </w:r>
    </w:p>
    <w:p w:rsidR="007A76A5" w:rsidRPr="00B432B9" w:rsidRDefault="007A76A5" w:rsidP="007A76A5">
      <w:pPr>
        <w:pStyle w:val="Standard"/>
        <w:numPr>
          <w:ilvl w:val="3"/>
          <w:numId w:val="26"/>
        </w:numPr>
        <w:tabs>
          <w:tab w:val="left" w:pos="180"/>
          <w:tab w:val="left" w:pos="709"/>
        </w:tabs>
        <w:ind w:left="567" w:hanging="283"/>
        <w:jc w:val="both"/>
      </w:pPr>
      <w:r>
        <w:rPr>
          <w:color w:val="000000"/>
        </w:rPr>
        <w:t xml:space="preserve">Pani Agnieszka Białecka – pełnomocnik inwestorów                       </w:t>
      </w:r>
      <w:r>
        <w:t>(+ egz. załącznika)</w:t>
      </w:r>
      <w:r w:rsidRPr="00090683">
        <w:rPr>
          <w:rStyle w:val="Domylnaczcionkaakapitu2"/>
          <w:color w:val="FF6600"/>
        </w:rPr>
        <w:t xml:space="preserve"> </w:t>
      </w:r>
      <w:r w:rsidRPr="00090683">
        <w:rPr>
          <w:rStyle w:val="Domylnaczcionkaakapitu2"/>
          <w:b/>
          <w:color w:val="FF6600"/>
        </w:rPr>
        <w:t xml:space="preserve">     </w:t>
      </w:r>
    </w:p>
    <w:p w:rsidR="00F154E8" w:rsidRPr="00173C86" w:rsidRDefault="00F154E8" w:rsidP="007A76A5">
      <w:pPr>
        <w:pStyle w:val="Standard"/>
        <w:numPr>
          <w:ilvl w:val="3"/>
          <w:numId w:val="26"/>
        </w:numPr>
        <w:tabs>
          <w:tab w:val="left" w:pos="180"/>
          <w:tab w:val="left" w:pos="709"/>
        </w:tabs>
        <w:ind w:left="567" w:hanging="283"/>
        <w:jc w:val="both"/>
      </w:pPr>
      <w:r>
        <w:rPr>
          <w:color w:val="000000"/>
        </w:rPr>
        <w:t>Gmina Piaseczno</w:t>
      </w:r>
    </w:p>
    <w:p w:rsidR="00173C86" w:rsidRPr="00F154E8" w:rsidRDefault="00173C86" w:rsidP="007A76A5">
      <w:pPr>
        <w:pStyle w:val="Standard"/>
        <w:numPr>
          <w:ilvl w:val="3"/>
          <w:numId w:val="26"/>
        </w:numPr>
        <w:tabs>
          <w:tab w:val="left" w:pos="180"/>
          <w:tab w:val="left" w:pos="709"/>
        </w:tabs>
        <w:ind w:left="567" w:hanging="283"/>
        <w:jc w:val="both"/>
      </w:pPr>
      <w:r>
        <w:rPr>
          <w:color w:val="000000"/>
        </w:rPr>
        <w:t>Powiat Piaseczyński</w:t>
      </w:r>
    </w:p>
    <w:p w:rsidR="007A76A5" w:rsidRPr="0011755F" w:rsidRDefault="007A76A5" w:rsidP="007A76A5">
      <w:pPr>
        <w:pStyle w:val="Standard"/>
        <w:numPr>
          <w:ilvl w:val="3"/>
          <w:numId w:val="26"/>
        </w:numPr>
        <w:tabs>
          <w:tab w:val="left" w:pos="180"/>
          <w:tab w:val="left" w:pos="709"/>
        </w:tabs>
        <w:ind w:left="567" w:hanging="283"/>
        <w:jc w:val="both"/>
      </w:pPr>
      <w:r>
        <w:rPr>
          <w:color w:val="000000"/>
        </w:rPr>
        <w:t xml:space="preserve">aa                                                                                                        </w:t>
      </w:r>
      <w:r>
        <w:t>(+ egz. załącznika)</w:t>
      </w:r>
      <w:r w:rsidRPr="00090683">
        <w:rPr>
          <w:rStyle w:val="Domylnaczcionkaakapitu2"/>
          <w:color w:val="FF6600"/>
        </w:rPr>
        <w:t xml:space="preserve"> </w:t>
      </w:r>
      <w:r w:rsidRPr="00090683">
        <w:rPr>
          <w:rStyle w:val="Domylnaczcionkaakapitu2"/>
          <w:b/>
          <w:color w:val="FF6600"/>
        </w:rPr>
        <w:t xml:space="preserve">     </w:t>
      </w:r>
    </w:p>
    <w:p w:rsidR="007A76A5" w:rsidRDefault="007A76A5">
      <w:pPr>
        <w:jc w:val="both"/>
      </w:pPr>
    </w:p>
    <w:p w:rsidR="00BC0732" w:rsidRPr="005C6910" w:rsidRDefault="00BC0732">
      <w:r w:rsidRPr="005C6910">
        <w:rPr>
          <w:b/>
        </w:rPr>
        <w:t>Do wiadomości:</w:t>
      </w:r>
    </w:p>
    <w:p w:rsidR="00BC0732" w:rsidRPr="005C6910" w:rsidRDefault="00BC0732" w:rsidP="00FD189B">
      <w:pPr>
        <w:numPr>
          <w:ilvl w:val="3"/>
          <w:numId w:val="26"/>
        </w:numPr>
        <w:overflowPunct w:val="0"/>
        <w:autoSpaceDE w:val="0"/>
      </w:pPr>
      <w:r w:rsidRPr="005C6910">
        <w:lastRenderedPageBreak/>
        <w:t>Powiatowy Inspektor Nadzoru Budowlanego w Piasecznie</w:t>
      </w:r>
      <w:r w:rsidRPr="005C6910">
        <w:br/>
        <w:t xml:space="preserve">ul. Czajewicza 2/4, 05-500 Piaseczno                     (dec. ostateczna + </w:t>
      </w:r>
      <w:r w:rsidRPr="005C6910">
        <w:rPr>
          <w:rStyle w:val="Domylnaczcionkaakapitu2"/>
          <w:bCs/>
        </w:rPr>
        <w:t>egz. załącznika)</w:t>
      </w:r>
    </w:p>
    <w:p w:rsidR="00BC0732" w:rsidRPr="005C6910" w:rsidRDefault="008662B0" w:rsidP="00FD189B">
      <w:pPr>
        <w:numPr>
          <w:ilvl w:val="3"/>
          <w:numId w:val="26"/>
        </w:numPr>
        <w:overflowPunct w:val="0"/>
        <w:autoSpaceDE w:val="0"/>
      </w:pPr>
      <w:r>
        <w:t>Burmistrz Miasta i Gminy Piaseczno</w:t>
      </w:r>
    </w:p>
    <w:p w:rsidR="005C6910" w:rsidRPr="005C6910" w:rsidRDefault="00FD189B" w:rsidP="00FD189B">
      <w:pPr>
        <w:overflowPunct w:val="0"/>
        <w:autoSpaceDE w:val="0"/>
      </w:pPr>
      <w:r>
        <w:rPr>
          <w:bCs/>
        </w:rPr>
        <w:t xml:space="preserve">           </w:t>
      </w:r>
      <w:r w:rsidR="005C6910" w:rsidRPr="005C6910">
        <w:rPr>
          <w:bCs/>
        </w:rPr>
        <w:t xml:space="preserve">ul. </w:t>
      </w:r>
      <w:r w:rsidR="008662B0">
        <w:rPr>
          <w:bCs/>
        </w:rPr>
        <w:t>Kościuszki 5, 05-500 Piaseczno</w:t>
      </w:r>
    </w:p>
    <w:p w:rsidR="00BC0732" w:rsidRPr="005C6910" w:rsidRDefault="002551CC" w:rsidP="00FD189B">
      <w:pPr>
        <w:numPr>
          <w:ilvl w:val="3"/>
          <w:numId w:val="26"/>
        </w:numPr>
        <w:overflowPunct w:val="0"/>
        <w:autoSpaceDE w:val="0"/>
        <w:jc w:val="both"/>
        <w:rPr>
          <w:rStyle w:val="Domylnaczcionkaakapitu2"/>
          <w:bCs/>
        </w:rPr>
      </w:pPr>
      <w:r>
        <w:rPr>
          <w:rStyle w:val="Domylnaczcionkaakapitu2"/>
          <w:bCs/>
        </w:rPr>
        <w:t>Burmistrz Miasta i Gminy Piaseczno</w:t>
      </w:r>
      <w:r w:rsidR="00BC0732" w:rsidRPr="005C6910">
        <w:rPr>
          <w:rStyle w:val="Domylnaczcionkaakapitu2"/>
          <w:bCs/>
        </w:rPr>
        <w:t xml:space="preserve"> </w:t>
      </w:r>
      <w:r w:rsidR="00090683">
        <w:rPr>
          <w:rStyle w:val="Domylnaczcionkaakapitu2"/>
          <w:bCs/>
        </w:rPr>
        <w:t xml:space="preserve">                        </w:t>
      </w:r>
      <w:r w:rsidR="00BC0732" w:rsidRPr="005C6910">
        <w:rPr>
          <w:rStyle w:val="Domylnaczcionkaakapitu2"/>
          <w:bCs/>
        </w:rPr>
        <w:t xml:space="preserve">                         (dec. ostateczna)</w:t>
      </w:r>
    </w:p>
    <w:p w:rsidR="005C6910" w:rsidRDefault="005C6910">
      <w:pPr>
        <w:overflowPunct w:val="0"/>
        <w:autoSpaceDE w:val="0"/>
        <w:ind w:left="737" w:hanging="340"/>
        <w:jc w:val="both"/>
      </w:pPr>
      <w:r w:rsidRPr="005C6910">
        <w:rPr>
          <w:rStyle w:val="Domylnaczcionkaakapitu2"/>
          <w:bCs/>
        </w:rPr>
        <w:t xml:space="preserve">     ul. </w:t>
      </w:r>
      <w:r w:rsidR="008662B0">
        <w:rPr>
          <w:rStyle w:val="Domylnaczcionkaakapitu2"/>
          <w:bCs/>
        </w:rPr>
        <w:t>Kościuszki 5, 05-500 Piaseczno</w:t>
      </w:r>
    </w:p>
    <w:p w:rsidR="00BC0732" w:rsidRDefault="00BC0732">
      <w:pPr>
        <w:rPr>
          <w:b/>
          <w:i/>
          <w:u w:val="single"/>
        </w:rPr>
      </w:pPr>
    </w:p>
    <w:p w:rsidR="00EC4663" w:rsidRDefault="00EC4663" w:rsidP="00EC4663">
      <w:pPr>
        <w:suppressAutoHyphens w:val="0"/>
        <w:ind w:firstLine="709"/>
        <w:jc w:val="both"/>
      </w:pPr>
      <w:r>
        <w:t xml:space="preserve">Informacja  o niniejszej  decyzji i o możliwościach  zapoznania  się z jej  treścią  oraz dokumentacją sprawy podlega podaniu do publicznej wiadomości zgodnie z art. 72 ust. 6 ustawy z dnia 3 października 2008 r. o udostępnianiu informacji o środowisku i jego ochronie, udziale społeczeństwa w ochronie środowiska oraz o ocenach oddziaływania na środowisko. </w:t>
      </w:r>
    </w:p>
    <w:p w:rsidR="00EC4663" w:rsidRDefault="00EC4663" w:rsidP="00EC4663">
      <w:pPr>
        <w:rPr>
          <w:i/>
          <w:iCs/>
        </w:rPr>
      </w:pPr>
    </w:p>
    <w:p w:rsidR="00BC0732" w:rsidRDefault="00BC0732">
      <w:pPr>
        <w:rPr>
          <w:b/>
          <w:i/>
          <w:u w:val="single"/>
        </w:rPr>
      </w:pPr>
    </w:p>
    <w:p w:rsidR="00580DE2" w:rsidRDefault="00580DE2" w:rsidP="00580DE2">
      <w:pPr>
        <w:rPr>
          <w:lang w:eastAsia="pl-PL"/>
        </w:rPr>
      </w:pPr>
    </w:p>
    <w:p w:rsidR="000261BC" w:rsidRPr="008A5AE5" w:rsidRDefault="000261BC" w:rsidP="000261BC">
      <w:pPr>
        <w:rPr>
          <w:lang w:eastAsia="pl-PL"/>
        </w:rPr>
      </w:pPr>
      <w:r>
        <w:rPr>
          <w:lang w:eastAsia="pl-PL"/>
        </w:rPr>
        <w:t xml:space="preserve">Wydruk </w:t>
      </w:r>
      <w:r w:rsidRPr="008A5AE5">
        <w:rPr>
          <w:lang w:eastAsia="pl-PL"/>
        </w:rPr>
        <w:t xml:space="preserve">dokumentu, stanowi dowód </w:t>
      </w:r>
      <w:r>
        <w:rPr>
          <w:lang w:eastAsia="pl-PL"/>
        </w:rPr>
        <w:t xml:space="preserve">tego </w:t>
      </w:r>
      <w:r w:rsidRPr="008A5AE5">
        <w:rPr>
          <w:lang w:eastAsia="pl-PL"/>
        </w:rPr>
        <w:t>co zostało stwierdz</w:t>
      </w:r>
      <w:r>
        <w:rPr>
          <w:lang w:eastAsia="pl-PL"/>
        </w:rPr>
        <w:t>one w piśmie, zgodnie z art. 39</w:t>
      </w:r>
      <w:r>
        <w:rPr>
          <w:vertAlign w:val="superscript"/>
          <w:lang w:eastAsia="pl-PL"/>
        </w:rPr>
        <w:t>3</w:t>
      </w:r>
      <w:r w:rsidRPr="008A5AE5">
        <w:rPr>
          <w:lang w:eastAsia="pl-PL"/>
        </w:rPr>
        <w:t xml:space="preserve"> k.p.a. Został on wytworzony za pomocą systemu teleinformatycznego i podpisany kwalifikowanym podpisem elektronicznym. </w:t>
      </w:r>
    </w:p>
    <w:p w:rsidR="000261BC" w:rsidRDefault="000261BC" w:rsidP="000261BC"/>
    <w:p w:rsidR="00BC0732" w:rsidRDefault="00BC0732">
      <w:pPr>
        <w:ind w:left="357"/>
        <w:jc w:val="both"/>
      </w:pPr>
    </w:p>
    <w:sectPr w:rsidR="00BC0732" w:rsidSect="00E03D63">
      <w:footerReference w:type="default" r:id="rId10"/>
      <w:pgSz w:w="11906" w:h="16838"/>
      <w:pgMar w:top="1135" w:right="1417" w:bottom="2039" w:left="1417" w:header="708" w:footer="89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35C4" w:rsidRDefault="00C535C4">
      <w:r>
        <w:separator/>
      </w:r>
    </w:p>
  </w:endnote>
  <w:endnote w:type="continuationSeparator" w:id="0">
    <w:p w:rsidR="00C535C4" w:rsidRDefault="00C53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</w:font>
  <w:font w:name="Liberation Serif">
    <w:altName w:val="Times New Roman"/>
    <w:charset w:val="EE"/>
    <w:family w:val="roman"/>
    <w:pitch w:val="variable"/>
    <w:sig w:usb0="00000003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0732" w:rsidRDefault="00BC0732">
    <w:pPr>
      <w:pStyle w:val="Styl1"/>
      <w:tabs>
        <w:tab w:val="left" w:pos="6675"/>
      </w:tabs>
    </w:pPr>
    <w:r>
      <w:tab/>
    </w:r>
  </w:p>
  <w:p w:rsidR="00BC0732" w:rsidRDefault="00364EA5">
    <w:pPr>
      <w:widowControl w:val="0"/>
      <w:tabs>
        <w:tab w:val="center" w:pos="4536"/>
        <w:tab w:val="right" w:pos="9072"/>
        <w:tab w:val="right" w:pos="9639"/>
      </w:tabs>
    </w:pPr>
    <w:r>
      <w:rPr>
        <w:rStyle w:val="Domylnaczcionkaakapitu2"/>
        <w:b/>
      </w:rPr>
      <w:t>ARB.6740.10</w:t>
    </w:r>
    <w:r w:rsidR="0019676B">
      <w:rPr>
        <w:rStyle w:val="Domylnaczcionkaakapitu2"/>
        <w:b/>
      </w:rPr>
      <w:t>2</w:t>
    </w:r>
    <w:r w:rsidR="00E03D63">
      <w:rPr>
        <w:rStyle w:val="Domylnaczcionkaakapitu2"/>
        <w:b/>
      </w:rPr>
      <w:t>.202</w:t>
    </w:r>
    <w:r w:rsidR="00D54BD3">
      <w:rPr>
        <w:rStyle w:val="Domylnaczcionkaakapitu2"/>
        <w:b/>
      </w:rPr>
      <w:t>3</w:t>
    </w:r>
    <w:r w:rsidR="00E03D63">
      <w:rPr>
        <w:rStyle w:val="Domylnaczcionkaakapitu2"/>
        <w:b/>
      </w:rPr>
      <w:t>.MgD</w:t>
    </w:r>
  </w:p>
  <w:p w:rsidR="00BC0732" w:rsidRPr="003F009B" w:rsidRDefault="00BC0732">
    <w:pPr>
      <w:widowControl w:val="0"/>
      <w:tabs>
        <w:tab w:val="center" w:pos="4536"/>
        <w:tab w:val="right" w:pos="9072"/>
        <w:tab w:val="right" w:pos="9639"/>
      </w:tabs>
      <w:jc w:val="right"/>
    </w:pPr>
    <w:r w:rsidRPr="003F009B">
      <w:t xml:space="preserve">Strona </w:t>
    </w:r>
    <w:r w:rsidRPr="003F009B">
      <w:rPr>
        <w:rStyle w:val="Domylnaczcionkaakapitu2"/>
        <w:highlight w:val="white"/>
      </w:rPr>
      <w:fldChar w:fldCharType="begin"/>
    </w:r>
    <w:r w:rsidRPr="003F009B">
      <w:rPr>
        <w:rStyle w:val="Domylnaczcionkaakapitu2"/>
        <w:highlight w:val="white"/>
      </w:rPr>
      <w:instrText xml:space="preserve"> PAGE </w:instrText>
    </w:r>
    <w:r w:rsidRPr="003F009B">
      <w:rPr>
        <w:rStyle w:val="Domylnaczcionkaakapitu2"/>
        <w:highlight w:val="white"/>
      </w:rPr>
      <w:fldChar w:fldCharType="separate"/>
    </w:r>
    <w:r w:rsidR="00D11B73">
      <w:rPr>
        <w:rStyle w:val="Domylnaczcionkaakapitu2"/>
        <w:noProof/>
        <w:highlight w:val="white"/>
      </w:rPr>
      <w:t>2</w:t>
    </w:r>
    <w:r w:rsidRPr="003F009B">
      <w:rPr>
        <w:rStyle w:val="Domylnaczcionkaakapitu2"/>
        <w:highlight w:val="white"/>
      </w:rPr>
      <w:fldChar w:fldCharType="end"/>
    </w:r>
    <w:r w:rsidRPr="003F009B">
      <w:t>/</w:t>
    </w:r>
    <w:r w:rsidR="00175B22">
      <w:rPr>
        <w:rStyle w:val="Domylnaczcionkaakapitu2"/>
      </w:rPr>
      <w:t>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35C4" w:rsidRDefault="00C535C4">
      <w:r>
        <w:separator/>
      </w:r>
    </w:p>
  </w:footnote>
  <w:footnote w:type="continuationSeparator" w:id="0">
    <w:p w:rsidR="00C535C4" w:rsidRDefault="00C535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Cs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0"/>
        </w:tabs>
        <w:ind w:left="7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40" w:hanging="360"/>
      </w:pPr>
      <w:rPr>
        <w:rFonts w:ascii="Wingdings" w:hAnsi="Wingdings"/>
      </w:rPr>
    </w:lvl>
  </w:abstractNum>
  <w:abstractNum w:abstractNumId="3">
    <w:nsid w:val="00000004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4">
    <w:nsid w:val="00000005"/>
    <w:multiLevelType w:val="multilevel"/>
    <w:tmpl w:val="0000000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/>
      </w:rPr>
    </w:lvl>
  </w:abstractNum>
  <w:abstractNum w:abstractNumId="6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7">
    <w:nsid w:val="00000008"/>
    <w:multiLevelType w:val="multilevel"/>
    <w:tmpl w:val="0000000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9"/>
    <w:multiLevelType w:val="multilevel"/>
    <w:tmpl w:val="0000000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9">
    <w:nsid w:val="0000000A"/>
    <w:multiLevelType w:val="multilevel"/>
    <w:tmpl w:val="0000000A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B"/>
    <w:multiLevelType w:val="multilevel"/>
    <w:tmpl w:val="0000000B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000C"/>
    <w:multiLevelType w:val="multilevel"/>
    <w:tmpl w:val="00000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D"/>
    <w:multiLevelType w:val="multilevel"/>
    <w:tmpl w:val="0000000D"/>
    <w:lvl w:ilvl="0">
      <w:start w:val="1"/>
      <w:numFmt w:val="lowerLetter"/>
      <w:lvlText w:val="%1)"/>
      <w:lvlJc w:val="left"/>
      <w:pPr>
        <w:tabs>
          <w:tab w:val="num" w:pos="0"/>
        </w:tabs>
        <w:ind w:left="113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5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7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9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1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3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5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7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97" w:hanging="180"/>
      </w:pPr>
    </w:lvl>
  </w:abstractNum>
  <w:abstractNum w:abstractNumId="13">
    <w:nsid w:val="0000000E"/>
    <w:multiLevelType w:val="multilevel"/>
    <w:tmpl w:val="0000000E"/>
    <w:lvl w:ilvl="0">
      <w:start w:val="2"/>
      <w:numFmt w:val="decimal"/>
      <w:lvlText w:val="%1."/>
      <w:lvlJc w:val="left"/>
      <w:pPr>
        <w:tabs>
          <w:tab w:val="num" w:pos="0"/>
        </w:tabs>
        <w:ind w:left="777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137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97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57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217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77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937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97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57" w:hanging="360"/>
      </w:pPr>
    </w:lvl>
  </w:abstractNum>
  <w:abstractNum w:abstractNumId="14">
    <w:nsid w:val="0000000F"/>
    <w:multiLevelType w:val="multilevel"/>
    <w:tmpl w:val="0000000F"/>
    <w:lvl w:ilvl="0">
      <w:start w:val="1"/>
      <w:numFmt w:val="bullet"/>
      <w:lvlText w:val=""/>
      <w:lvlJc w:val="left"/>
      <w:pPr>
        <w:tabs>
          <w:tab w:val="num" w:pos="0"/>
        </w:tabs>
        <w:ind w:left="1068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5">
    <w:nsid w:val="00000010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Cs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16">
    <w:nsid w:val="02FE766A"/>
    <w:multiLevelType w:val="multilevel"/>
    <w:tmpl w:val="0D421B9E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644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7502849"/>
    <w:multiLevelType w:val="multilevel"/>
    <w:tmpl w:val="65B8A8E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>
    <w:nsid w:val="2612329D"/>
    <w:multiLevelType w:val="hybridMultilevel"/>
    <w:tmpl w:val="DF1008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61A5AED"/>
    <w:multiLevelType w:val="multilevel"/>
    <w:tmpl w:val="203273FE"/>
    <w:lvl w:ilvl="0">
      <w:start w:val="1"/>
      <w:numFmt w:val="decimal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7A92758"/>
    <w:multiLevelType w:val="multilevel"/>
    <w:tmpl w:val="37AE966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1">
    <w:nsid w:val="2A4B2E98"/>
    <w:multiLevelType w:val="hybridMultilevel"/>
    <w:tmpl w:val="1C6005F4"/>
    <w:lvl w:ilvl="0" w:tplc="60A2AF5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AC45567"/>
    <w:multiLevelType w:val="hybridMultilevel"/>
    <w:tmpl w:val="391A2C5A"/>
    <w:lvl w:ilvl="0" w:tplc="C34E2B58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>
    <w:nsid w:val="30A55C05"/>
    <w:multiLevelType w:val="hybridMultilevel"/>
    <w:tmpl w:val="DB6095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461358D"/>
    <w:multiLevelType w:val="hybridMultilevel"/>
    <w:tmpl w:val="46188DCC"/>
    <w:lvl w:ilvl="0" w:tplc="04150001">
      <w:start w:val="1"/>
      <w:numFmt w:val="bullet"/>
      <w:lvlText w:val=""/>
      <w:lvlJc w:val="left"/>
      <w:pPr>
        <w:ind w:left="11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25">
    <w:nsid w:val="362B54EA"/>
    <w:multiLevelType w:val="hybridMultilevel"/>
    <w:tmpl w:val="3E2231B8"/>
    <w:lvl w:ilvl="0" w:tplc="0415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6">
    <w:nsid w:val="41395EA6"/>
    <w:multiLevelType w:val="hybridMultilevel"/>
    <w:tmpl w:val="5762A546"/>
    <w:lvl w:ilvl="0" w:tplc="6BEA533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473B5361"/>
    <w:multiLevelType w:val="hybridMultilevel"/>
    <w:tmpl w:val="B2BEB8A4"/>
    <w:lvl w:ilvl="0" w:tplc="872C09A0">
      <w:start w:val="1"/>
      <w:numFmt w:val="decimal"/>
      <w:lvlText w:val="%1."/>
      <w:lvlJc w:val="left"/>
      <w:pPr>
        <w:ind w:left="831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49255EB1"/>
    <w:multiLevelType w:val="hybridMultilevel"/>
    <w:tmpl w:val="37004242"/>
    <w:lvl w:ilvl="0" w:tplc="714CE84E">
      <w:start w:val="3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11F644F"/>
    <w:multiLevelType w:val="multilevel"/>
    <w:tmpl w:val="F0F0B6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>
    <w:nsid w:val="58B14628"/>
    <w:multiLevelType w:val="hybridMultilevel"/>
    <w:tmpl w:val="13341DF0"/>
    <w:lvl w:ilvl="0" w:tplc="CF7C44FC">
      <w:start w:val="3"/>
      <w:numFmt w:val="decimal"/>
      <w:lvlText w:val="%1)"/>
      <w:lvlJc w:val="left"/>
      <w:pPr>
        <w:ind w:left="1146" w:hanging="360"/>
      </w:pPr>
      <w:rPr>
        <w:rFonts w:ascii="Times New Roman" w:hAnsi="Times New Roman"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1">
    <w:nsid w:val="653868C2"/>
    <w:multiLevelType w:val="hybridMultilevel"/>
    <w:tmpl w:val="58C84DBC"/>
    <w:lvl w:ilvl="0" w:tplc="0415000F">
      <w:start w:val="1"/>
      <w:numFmt w:val="decimal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666572D1"/>
    <w:multiLevelType w:val="hybridMultilevel"/>
    <w:tmpl w:val="ED043252"/>
    <w:lvl w:ilvl="0" w:tplc="10DE7152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>
    <w:nsid w:val="67A1596A"/>
    <w:multiLevelType w:val="multilevel"/>
    <w:tmpl w:val="E4A2ACB4"/>
    <w:lvl w:ilvl="0">
      <w:numFmt w:val="bullet"/>
      <w:lvlText w:val=""/>
      <w:lvlJc w:val="left"/>
      <w:pPr>
        <w:ind w:left="7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5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40" w:hanging="360"/>
      </w:pPr>
      <w:rPr>
        <w:rFonts w:ascii="Wingdings" w:hAnsi="Wingdings"/>
      </w:rPr>
    </w:lvl>
  </w:abstractNum>
  <w:abstractNum w:abstractNumId="34">
    <w:nsid w:val="6D7E498E"/>
    <w:multiLevelType w:val="multilevel"/>
    <w:tmpl w:val="3BBE49A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5">
    <w:nsid w:val="70DC79CE"/>
    <w:multiLevelType w:val="multilevel"/>
    <w:tmpl w:val="2B70D31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6">
    <w:nsid w:val="7DEA53C8"/>
    <w:multiLevelType w:val="hybridMultilevel"/>
    <w:tmpl w:val="8DE2A62C"/>
    <w:lvl w:ilvl="0" w:tplc="6B60DFA6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36"/>
  </w:num>
  <w:num w:numId="18">
    <w:abstractNumId w:val="21"/>
  </w:num>
  <w:num w:numId="19">
    <w:abstractNumId w:val="18"/>
  </w:num>
  <w:num w:numId="20">
    <w:abstractNumId w:val="24"/>
  </w:num>
  <w:num w:numId="21">
    <w:abstractNumId w:val="26"/>
  </w:num>
  <w:num w:numId="22">
    <w:abstractNumId w:val="28"/>
  </w:num>
  <w:num w:numId="23">
    <w:abstractNumId w:val="25"/>
  </w:num>
  <w:num w:numId="24">
    <w:abstractNumId w:val="30"/>
  </w:num>
  <w:num w:numId="25">
    <w:abstractNumId w:val="32"/>
  </w:num>
  <w:num w:numId="26">
    <w:abstractNumId w:val="16"/>
  </w:num>
  <w:num w:numId="27">
    <w:abstractNumId w:val="27"/>
  </w:num>
  <w:num w:numId="28">
    <w:abstractNumId w:val="33"/>
  </w:num>
  <w:num w:numId="29">
    <w:abstractNumId w:val="35"/>
  </w:num>
  <w:num w:numId="30">
    <w:abstractNumId w:val="19"/>
  </w:num>
  <w:num w:numId="31">
    <w:abstractNumId w:val="20"/>
  </w:num>
  <w:num w:numId="32">
    <w:abstractNumId w:val="34"/>
  </w:num>
  <w:num w:numId="33">
    <w:abstractNumId w:val="17"/>
  </w:num>
  <w:num w:numId="34">
    <w:abstractNumId w:val="29"/>
  </w:num>
  <w:num w:numId="35">
    <w:abstractNumId w:val="31"/>
  </w:num>
  <w:num w:numId="36">
    <w:abstractNumId w:val="23"/>
  </w:num>
  <w:num w:numId="3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513"/>
    <w:rsid w:val="00005FEE"/>
    <w:rsid w:val="000261BC"/>
    <w:rsid w:val="0002629E"/>
    <w:rsid w:val="00036513"/>
    <w:rsid w:val="00070C39"/>
    <w:rsid w:val="00090683"/>
    <w:rsid w:val="000B4AC7"/>
    <w:rsid w:val="000D11F1"/>
    <w:rsid w:val="000D655B"/>
    <w:rsid w:val="000E00A7"/>
    <w:rsid w:val="000F201A"/>
    <w:rsid w:val="00173C86"/>
    <w:rsid w:val="00175B22"/>
    <w:rsid w:val="0019676B"/>
    <w:rsid w:val="001D1350"/>
    <w:rsid w:val="001E199D"/>
    <w:rsid w:val="001E6DAB"/>
    <w:rsid w:val="0023137B"/>
    <w:rsid w:val="00240073"/>
    <w:rsid w:val="002551CC"/>
    <w:rsid w:val="00263CCE"/>
    <w:rsid w:val="002B2AFD"/>
    <w:rsid w:val="002B72A7"/>
    <w:rsid w:val="002F31D8"/>
    <w:rsid w:val="002F33CF"/>
    <w:rsid w:val="002F7389"/>
    <w:rsid w:val="0032225A"/>
    <w:rsid w:val="0032695A"/>
    <w:rsid w:val="00364EA5"/>
    <w:rsid w:val="00394328"/>
    <w:rsid w:val="00395A0D"/>
    <w:rsid w:val="003E5C59"/>
    <w:rsid w:val="003F009B"/>
    <w:rsid w:val="00412565"/>
    <w:rsid w:val="00421A42"/>
    <w:rsid w:val="00451446"/>
    <w:rsid w:val="00464FAB"/>
    <w:rsid w:val="004821DD"/>
    <w:rsid w:val="004C63E3"/>
    <w:rsid w:val="004E66C5"/>
    <w:rsid w:val="004E73A0"/>
    <w:rsid w:val="00536EEA"/>
    <w:rsid w:val="00547362"/>
    <w:rsid w:val="00575259"/>
    <w:rsid w:val="00580DE2"/>
    <w:rsid w:val="005A27C6"/>
    <w:rsid w:val="005C6910"/>
    <w:rsid w:val="005C7698"/>
    <w:rsid w:val="0062428D"/>
    <w:rsid w:val="0062442C"/>
    <w:rsid w:val="00632E4C"/>
    <w:rsid w:val="006338CF"/>
    <w:rsid w:val="00633B61"/>
    <w:rsid w:val="00640B18"/>
    <w:rsid w:val="00645D56"/>
    <w:rsid w:val="0065154B"/>
    <w:rsid w:val="00651C5E"/>
    <w:rsid w:val="00662608"/>
    <w:rsid w:val="00665B21"/>
    <w:rsid w:val="00675D38"/>
    <w:rsid w:val="00676BE7"/>
    <w:rsid w:val="006B484C"/>
    <w:rsid w:val="006D3152"/>
    <w:rsid w:val="00703128"/>
    <w:rsid w:val="00727249"/>
    <w:rsid w:val="007505EA"/>
    <w:rsid w:val="00750A78"/>
    <w:rsid w:val="007864A1"/>
    <w:rsid w:val="007A1B2C"/>
    <w:rsid w:val="007A76A5"/>
    <w:rsid w:val="007C0274"/>
    <w:rsid w:val="007F054B"/>
    <w:rsid w:val="008224EE"/>
    <w:rsid w:val="00851A79"/>
    <w:rsid w:val="00865987"/>
    <w:rsid w:val="008662B0"/>
    <w:rsid w:val="008B742D"/>
    <w:rsid w:val="00901AA6"/>
    <w:rsid w:val="00903808"/>
    <w:rsid w:val="00924CF1"/>
    <w:rsid w:val="00970609"/>
    <w:rsid w:val="009733CB"/>
    <w:rsid w:val="00984DB9"/>
    <w:rsid w:val="009B04EF"/>
    <w:rsid w:val="009E31DF"/>
    <w:rsid w:val="009F0C9D"/>
    <w:rsid w:val="00A1061B"/>
    <w:rsid w:val="00A107DF"/>
    <w:rsid w:val="00A40D60"/>
    <w:rsid w:val="00A51B9B"/>
    <w:rsid w:val="00A640B2"/>
    <w:rsid w:val="00AA5D9F"/>
    <w:rsid w:val="00AB3F88"/>
    <w:rsid w:val="00AF69DF"/>
    <w:rsid w:val="00B042E2"/>
    <w:rsid w:val="00B121F8"/>
    <w:rsid w:val="00B17220"/>
    <w:rsid w:val="00B541D7"/>
    <w:rsid w:val="00B61970"/>
    <w:rsid w:val="00B80882"/>
    <w:rsid w:val="00B81844"/>
    <w:rsid w:val="00B96911"/>
    <w:rsid w:val="00BA5CF1"/>
    <w:rsid w:val="00BA774D"/>
    <w:rsid w:val="00BC0732"/>
    <w:rsid w:val="00BD0DCC"/>
    <w:rsid w:val="00C0217A"/>
    <w:rsid w:val="00C06592"/>
    <w:rsid w:val="00C447F1"/>
    <w:rsid w:val="00C535C4"/>
    <w:rsid w:val="00C5576E"/>
    <w:rsid w:val="00C84AFD"/>
    <w:rsid w:val="00C87939"/>
    <w:rsid w:val="00CB0452"/>
    <w:rsid w:val="00CC195A"/>
    <w:rsid w:val="00D046C5"/>
    <w:rsid w:val="00D11B73"/>
    <w:rsid w:val="00D54BD3"/>
    <w:rsid w:val="00D609A5"/>
    <w:rsid w:val="00D63B1F"/>
    <w:rsid w:val="00D661D9"/>
    <w:rsid w:val="00DA0B12"/>
    <w:rsid w:val="00E00C73"/>
    <w:rsid w:val="00E03D63"/>
    <w:rsid w:val="00E164C6"/>
    <w:rsid w:val="00E5193A"/>
    <w:rsid w:val="00E5247C"/>
    <w:rsid w:val="00EB1822"/>
    <w:rsid w:val="00EB3EB1"/>
    <w:rsid w:val="00EC4663"/>
    <w:rsid w:val="00ED0371"/>
    <w:rsid w:val="00EE14CC"/>
    <w:rsid w:val="00F154E8"/>
    <w:rsid w:val="00F7522E"/>
    <w:rsid w:val="00F949AF"/>
    <w:rsid w:val="00FA7353"/>
    <w:rsid w:val="00FB49DB"/>
    <w:rsid w:val="00FB7FEC"/>
    <w:rsid w:val="00FC4A0C"/>
    <w:rsid w:val="00FD189B"/>
    <w:rsid w:val="00FD4406"/>
    <w:rsid w:val="00FF0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outlineLvl w:val="2"/>
    </w:pPr>
    <w:rPr>
      <w:rFonts w:ascii="Courier New" w:eastAsia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3z0">
    <w:name w:val="WW8Num3z0"/>
    <w:rPr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bCs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eastAsia="Courier New" w:hAnsi="Courier New" w:cs="Courier New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6z0">
    <w:name w:val="WW8Num6z0"/>
    <w:rPr>
      <w:rFonts w:ascii="Symbol" w:eastAsia="Symbol" w:hAnsi="Symbol" w:cs="Symbol"/>
    </w:rPr>
  </w:style>
  <w:style w:type="character" w:customStyle="1" w:styleId="WW8Num6z1">
    <w:name w:val="WW8Num6z1"/>
    <w:rPr>
      <w:rFonts w:ascii="Courier New" w:eastAsia="Courier New" w:hAnsi="Courier New" w:cs="Courier New"/>
    </w:rPr>
  </w:style>
  <w:style w:type="character" w:customStyle="1" w:styleId="WW8Num6z2">
    <w:name w:val="WW8Num6z2"/>
    <w:rPr>
      <w:rFonts w:ascii="Wingdings" w:eastAsia="Wingdings" w:hAnsi="Wingdings" w:cs="Wingdings"/>
    </w:rPr>
  </w:style>
  <w:style w:type="character" w:customStyle="1" w:styleId="WW8Num7z0">
    <w:name w:val="WW8Num7z0"/>
    <w:rPr>
      <w:rFonts w:ascii="Symbol" w:eastAsia="Symbol" w:hAnsi="Symbol" w:cs="Symbol"/>
    </w:rPr>
  </w:style>
  <w:style w:type="character" w:customStyle="1" w:styleId="WW8Num7z1">
    <w:name w:val="WW8Num7z1"/>
    <w:rPr>
      <w:rFonts w:ascii="Courier New" w:eastAsia="Courier New" w:hAnsi="Courier New" w:cs="Courier New"/>
    </w:rPr>
  </w:style>
  <w:style w:type="character" w:customStyle="1" w:styleId="WW8Num7z2">
    <w:name w:val="WW8Num7z2"/>
    <w:rPr>
      <w:rFonts w:ascii="Wingdings" w:eastAsia="Wingdings" w:hAnsi="Wingdings" w:cs="Wingdings"/>
    </w:rPr>
  </w:style>
  <w:style w:type="character" w:customStyle="1" w:styleId="WW8Num8z0">
    <w:name w:val="WW8Num8z0"/>
    <w:rPr>
      <w:rFonts w:ascii="Symbol" w:eastAsia="Symbol" w:hAnsi="Symbol" w:cs="Symbol"/>
    </w:rPr>
  </w:style>
  <w:style w:type="character" w:customStyle="1" w:styleId="WW8Num8z1">
    <w:name w:val="WW8Num8z1"/>
    <w:rPr>
      <w:rFonts w:ascii="Courier New" w:eastAsia="Courier New" w:hAnsi="Courier New" w:cs="Courier New"/>
    </w:rPr>
  </w:style>
  <w:style w:type="character" w:customStyle="1" w:styleId="WW8Num8z2">
    <w:name w:val="WW8Num8z2"/>
    <w:rPr>
      <w:rFonts w:ascii="Wingdings" w:eastAsia="Wingdings" w:hAnsi="Wingdings" w:cs="Wingdings"/>
    </w:rPr>
  </w:style>
  <w:style w:type="character" w:customStyle="1" w:styleId="WW8Num10z0">
    <w:name w:val="WW8Num10z0"/>
    <w:rPr>
      <w:rFonts w:ascii="Symbol" w:eastAsia="Symbol" w:hAnsi="Symbol" w:cs="Symbol"/>
    </w:rPr>
  </w:style>
  <w:style w:type="character" w:customStyle="1" w:styleId="WW8Num10z1">
    <w:name w:val="WW8Num10z1"/>
    <w:rPr>
      <w:rFonts w:ascii="Courier New" w:eastAsia="Courier New" w:hAnsi="Courier New" w:cs="Courier New"/>
    </w:rPr>
  </w:style>
  <w:style w:type="character" w:customStyle="1" w:styleId="WW8Num10z2">
    <w:name w:val="WW8Num10z2"/>
    <w:rPr>
      <w:rFonts w:ascii="Wingdings" w:eastAsia="Wingdings" w:hAnsi="Wingdings" w:cs="Wingdings"/>
    </w:rPr>
  </w:style>
  <w:style w:type="character" w:customStyle="1" w:styleId="WW8Num12z0">
    <w:name w:val="WW8Num12z0"/>
    <w:rPr>
      <w:rFonts w:ascii="Symbol" w:eastAsia="Symbol" w:hAnsi="Symbol" w:cs="Symbol"/>
    </w:rPr>
  </w:style>
  <w:style w:type="character" w:customStyle="1" w:styleId="WW8Num12z1">
    <w:name w:val="WW8Num12z1"/>
    <w:rPr>
      <w:rFonts w:ascii="Courier New" w:eastAsia="Courier New" w:hAnsi="Courier New" w:cs="Courier New"/>
    </w:rPr>
  </w:style>
  <w:style w:type="character" w:customStyle="1" w:styleId="WW8Num12z2">
    <w:name w:val="WW8Num12z2"/>
    <w:rPr>
      <w:rFonts w:ascii="Wingdings" w:eastAsia="Wingdings" w:hAnsi="Wingdings" w:cs="Wingdings"/>
    </w:rPr>
  </w:style>
  <w:style w:type="character" w:customStyle="1" w:styleId="Domylnaczcionkaakapitu1">
    <w:name w:val="Domyślna czcionka akapitu1"/>
  </w:style>
  <w:style w:type="character" w:customStyle="1" w:styleId="Numerstrony1">
    <w:name w:val="Numer strony1"/>
    <w:basedOn w:val="Domylnaczcionkaakapitu1"/>
  </w:style>
  <w:style w:type="character" w:customStyle="1" w:styleId="Znakiprzypiswkocowych">
    <w:name w:val="Znaki przypisów końcowych"/>
    <w:rPr>
      <w:position w:val="24"/>
      <w:sz w:val="16"/>
    </w:rPr>
  </w:style>
  <w:style w:type="character" w:customStyle="1" w:styleId="StopkaZnak">
    <w:name w:val="Stopka Znak"/>
    <w:rPr>
      <w:sz w:val="24"/>
      <w:szCs w:val="24"/>
    </w:rPr>
  </w:style>
  <w:style w:type="character" w:styleId="Tytuksiki">
    <w:name w:val="Book Title"/>
    <w:qFormat/>
    <w:rPr>
      <w:b/>
      <w:bCs/>
      <w:smallCaps/>
      <w:spacing w:val="5"/>
    </w:rPr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Znakinumeracji">
    <w:name w:val="Znaki numeracji"/>
  </w:style>
  <w:style w:type="character" w:customStyle="1" w:styleId="StandardZnak">
    <w:name w:val="Standard Znak"/>
    <w:rPr>
      <w:rFonts w:ascii="Times New Roman" w:eastAsia="Times New Roman" w:hAnsi="Times New Roman" w:cs="Times New Roman"/>
      <w:lang w:bidi="ar-SA"/>
    </w:rPr>
  </w:style>
  <w:style w:type="character" w:customStyle="1" w:styleId="Styl1Znak">
    <w:name w:val="Styl1 Znak"/>
    <w:rPr>
      <w:rFonts w:ascii="Times New Roman" w:eastAsia="Times New Roman" w:hAnsi="Times New Roman" w:cs="Times New Roman"/>
      <w:lang w:bidi="ar-SA"/>
    </w:rPr>
  </w:style>
  <w:style w:type="character" w:customStyle="1" w:styleId="Hipercze1">
    <w:name w:val="Hiperłącze1"/>
    <w:rPr>
      <w:color w:val="0000FF"/>
      <w:u w:val="single"/>
    </w:rPr>
  </w:style>
  <w:style w:type="character" w:customStyle="1" w:styleId="highlight">
    <w:name w:val="highlight"/>
    <w:basedOn w:val="Domylnaczcionkaakapitu2"/>
  </w:style>
  <w:style w:type="character" w:styleId="Hipercze">
    <w:name w:val="Hyperlink"/>
    <w:rPr>
      <w:color w:val="000080"/>
      <w:u w:val="single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alb">
    <w:name w:val="a_lb"/>
    <w:basedOn w:val="Domylnaczcionkaakapitu2"/>
  </w:style>
  <w:style w:type="character" w:customStyle="1" w:styleId="fn-ref">
    <w:name w:val="fn-ref"/>
    <w:basedOn w:val="Domylnaczcionkaakapitu2"/>
  </w:style>
  <w:style w:type="character" w:customStyle="1" w:styleId="alb-s">
    <w:name w:val="a_lb-s"/>
    <w:basedOn w:val="Domylnaczcionkaakapitu2"/>
  </w:style>
  <w:style w:type="character" w:customStyle="1" w:styleId="NagwekZnak">
    <w:name w:val="Nagłówek Znak"/>
    <w:rPr>
      <w:szCs w:val="21"/>
    </w:rPr>
  </w:style>
  <w:style w:type="character" w:customStyle="1" w:styleId="WWCharLFO4LVL1">
    <w:name w:val="WW_CharLFO4LVL1"/>
    <w:rPr>
      <w:sz w:val="24"/>
      <w:szCs w:val="24"/>
    </w:rPr>
  </w:style>
  <w:style w:type="character" w:customStyle="1" w:styleId="WWCharLFO5LVL1">
    <w:name w:val="WW_CharLFO5LVL1"/>
    <w:rPr>
      <w:bCs/>
    </w:rPr>
  </w:style>
  <w:style w:type="character" w:customStyle="1" w:styleId="WWCharLFO6LVL1">
    <w:name w:val="WW_CharLFO6LVL1"/>
    <w:rPr>
      <w:rFonts w:ascii="Symbol" w:hAnsi="Symbol"/>
    </w:rPr>
  </w:style>
  <w:style w:type="character" w:customStyle="1" w:styleId="WWCharLFO6LVL2">
    <w:name w:val="WW_CharLFO6LVL2"/>
    <w:rPr>
      <w:rFonts w:ascii="Courier New" w:hAnsi="Courier New" w:cs="Courier New"/>
    </w:rPr>
  </w:style>
  <w:style w:type="character" w:customStyle="1" w:styleId="WWCharLFO6LVL3">
    <w:name w:val="WW_CharLFO6LVL3"/>
    <w:rPr>
      <w:rFonts w:ascii="Wingdings" w:hAnsi="Wingdings"/>
    </w:rPr>
  </w:style>
  <w:style w:type="character" w:customStyle="1" w:styleId="WWCharLFO6LVL4">
    <w:name w:val="WW_CharLFO6LVL4"/>
    <w:rPr>
      <w:rFonts w:ascii="Symbol" w:hAnsi="Symbol"/>
    </w:rPr>
  </w:style>
  <w:style w:type="character" w:customStyle="1" w:styleId="WWCharLFO6LVL5">
    <w:name w:val="WW_CharLFO6LVL5"/>
    <w:rPr>
      <w:rFonts w:ascii="Courier New" w:hAnsi="Courier New" w:cs="Courier New"/>
    </w:rPr>
  </w:style>
  <w:style w:type="character" w:customStyle="1" w:styleId="WWCharLFO6LVL6">
    <w:name w:val="WW_CharLFO6LVL6"/>
    <w:rPr>
      <w:rFonts w:ascii="Wingdings" w:hAnsi="Wingdings"/>
    </w:rPr>
  </w:style>
  <w:style w:type="character" w:customStyle="1" w:styleId="WWCharLFO6LVL7">
    <w:name w:val="WW_CharLFO6LVL7"/>
    <w:rPr>
      <w:rFonts w:ascii="Symbol" w:hAnsi="Symbol"/>
    </w:rPr>
  </w:style>
  <w:style w:type="character" w:customStyle="1" w:styleId="WWCharLFO6LVL8">
    <w:name w:val="WW_CharLFO6LVL8"/>
    <w:rPr>
      <w:rFonts w:ascii="Courier New" w:hAnsi="Courier New" w:cs="Courier New"/>
    </w:rPr>
  </w:style>
  <w:style w:type="character" w:customStyle="1" w:styleId="WWCharLFO6LVL9">
    <w:name w:val="WW_CharLFO6LVL9"/>
    <w:rPr>
      <w:rFonts w:ascii="Wingdings" w:hAnsi="Wingdings"/>
    </w:rPr>
  </w:style>
  <w:style w:type="character" w:customStyle="1" w:styleId="WWCharLFO7LVL1">
    <w:name w:val="WW_CharLFO7LVL1"/>
    <w:rPr>
      <w:rFonts w:ascii="Symbol" w:hAnsi="Symbol"/>
    </w:rPr>
  </w:style>
  <w:style w:type="character" w:customStyle="1" w:styleId="WWCharLFO7LVL2">
    <w:name w:val="WW_CharLFO7LVL2"/>
    <w:rPr>
      <w:rFonts w:ascii="Courier New" w:hAnsi="Courier New" w:cs="Courier New"/>
    </w:rPr>
  </w:style>
  <w:style w:type="character" w:customStyle="1" w:styleId="WWCharLFO7LVL3">
    <w:name w:val="WW_CharLFO7LVL3"/>
    <w:rPr>
      <w:rFonts w:ascii="Wingdings" w:hAnsi="Wingdings"/>
    </w:rPr>
  </w:style>
  <w:style w:type="character" w:customStyle="1" w:styleId="WWCharLFO7LVL4">
    <w:name w:val="WW_CharLFO7LVL4"/>
    <w:rPr>
      <w:rFonts w:ascii="Symbol" w:hAnsi="Symbol"/>
    </w:rPr>
  </w:style>
  <w:style w:type="character" w:customStyle="1" w:styleId="WWCharLFO7LVL5">
    <w:name w:val="WW_CharLFO7LVL5"/>
    <w:rPr>
      <w:rFonts w:ascii="Courier New" w:hAnsi="Courier New" w:cs="Courier New"/>
    </w:rPr>
  </w:style>
  <w:style w:type="character" w:customStyle="1" w:styleId="WWCharLFO7LVL6">
    <w:name w:val="WW_CharLFO7LVL6"/>
    <w:rPr>
      <w:rFonts w:ascii="Wingdings" w:hAnsi="Wingdings"/>
    </w:rPr>
  </w:style>
  <w:style w:type="character" w:customStyle="1" w:styleId="WWCharLFO7LVL7">
    <w:name w:val="WW_CharLFO7LVL7"/>
    <w:rPr>
      <w:rFonts w:ascii="Symbol" w:hAnsi="Symbol"/>
    </w:rPr>
  </w:style>
  <w:style w:type="character" w:customStyle="1" w:styleId="WWCharLFO7LVL8">
    <w:name w:val="WW_CharLFO7LVL8"/>
    <w:rPr>
      <w:rFonts w:ascii="Courier New" w:hAnsi="Courier New" w:cs="Courier New"/>
    </w:rPr>
  </w:style>
  <w:style w:type="character" w:customStyle="1" w:styleId="WWCharLFO7LVL9">
    <w:name w:val="WW_CharLFO7LVL9"/>
    <w:rPr>
      <w:rFonts w:ascii="Wingdings" w:hAnsi="Wingdings"/>
    </w:rPr>
  </w:style>
  <w:style w:type="character" w:customStyle="1" w:styleId="WWCharLFO8LVL1">
    <w:name w:val="WW_CharLFO8LVL1"/>
    <w:rPr>
      <w:b/>
    </w:rPr>
  </w:style>
  <w:style w:type="character" w:customStyle="1" w:styleId="WWCharLFO9LVL1">
    <w:name w:val="WW_CharLFO9LVL1"/>
    <w:rPr>
      <w:rFonts w:ascii="Symbol" w:hAnsi="Symbol"/>
    </w:rPr>
  </w:style>
  <w:style w:type="character" w:customStyle="1" w:styleId="WWCharLFO9LVL2">
    <w:name w:val="WW_CharLFO9LVL2"/>
    <w:rPr>
      <w:rFonts w:ascii="Courier New" w:hAnsi="Courier New" w:cs="Courier New"/>
    </w:rPr>
  </w:style>
  <w:style w:type="character" w:customStyle="1" w:styleId="WWCharLFO9LVL3">
    <w:name w:val="WW_CharLFO9LVL3"/>
    <w:rPr>
      <w:rFonts w:ascii="Wingdings" w:hAnsi="Wingdings"/>
    </w:rPr>
  </w:style>
  <w:style w:type="character" w:customStyle="1" w:styleId="WWCharLFO9LVL4">
    <w:name w:val="WW_CharLFO9LVL4"/>
    <w:rPr>
      <w:rFonts w:ascii="Symbol" w:hAnsi="Symbol"/>
    </w:rPr>
  </w:style>
  <w:style w:type="character" w:customStyle="1" w:styleId="WWCharLFO9LVL5">
    <w:name w:val="WW_CharLFO9LVL5"/>
    <w:rPr>
      <w:rFonts w:ascii="Courier New" w:hAnsi="Courier New" w:cs="Courier New"/>
    </w:rPr>
  </w:style>
  <w:style w:type="character" w:customStyle="1" w:styleId="WWCharLFO9LVL6">
    <w:name w:val="WW_CharLFO9LVL6"/>
    <w:rPr>
      <w:rFonts w:ascii="Wingdings" w:hAnsi="Wingdings"/>
    </w:rPr>
  </w:style>
  <w:style w:type="character" w:customStyle="1" w:styleId="WWCharLFO9LVL7">
    <w:name w:val="WW_CharLFO9LVL7"/>
    <w:rPr>
      <w:rFonts w:ascii="Symbol" w:hAnsi="Symbol"/>
    </w:rPr>
  </w:style>
  <w:style w:type="character" w:customStyle="1" w:styleId="WWCharLFO9LVL8">
    <w:name w:val="WW_CharLFO9LVL8"/>
    <w:rPr>
      <w:rFonts w:ascii="Courier New" w:hAnsi="Courier New" w:cs="Courier New"/>
    </w:rPr>
  </w:style>
  <w:style w:type="character" w:customStyle="1" w:styleId="WWCharLFO9LVL9">
    <w:name w:val="WW_CharLFO9LVL9"/>
    <w:rPr>
      <w:rFonts w:ascii="Wingdings" w:hAnsi="Wingdings"/>
    </w:rPr>
  </w:style>
  <w:style w:type="character" w:customStyle="1" w:styleId="WWCharLFO10LVL1">
    <w:name w:val="WW_CharLFO10LVL1"/>
    <w:rPr>
      <w:rFonts w:ascii="Symbol" w:hAnsi="Symbol"/>
    </w:rPr>
  </w:style>
  <w:style w:type="character" w:customStyle="1" w:styleId="WWCharLFO10LVL2">
    <w:name w:val="WW_CharLFO10LVL2"/>
    <w:rPr>
      <w:rFonts w:ascii="Courier New" w:hAnsi="Courier New" w:cs="Courier New"/>
    </w:rPr>
  </w:style>
  <w:style w:type="character" w:customStyle="1" w:styleId="WWCharLFO10LVL3">
    <w:name w:val="WW_CharLFO10LVL3"/>
    <w:rPr>
      <w:rFonts w:ascii="Wingdings" w:hAnsi="Wingdings"/>
    </w:rPr>
  </w:style>
  <w:style w:type="character" w:customStyle="1" w:styleId="WWCharLFO10LVL4">
    <w:name w:val="WW_CharLFO10LVL4"/>
    <w:rPr>
      <w:rFonts w:ascii="Symbol" w:hAnsi="Symbol"/>
    </w:rPr>
  </w:style>
  <w:style w:type="character" w:customStyle="1" w:styleId="WWCharLFO10LVL5">
    <w:name w:val="WW_CharLFO10LVL5"/>
    <w:rPr>
      <w:rFonts w:ascii="Courier New" w:hAnsi="Courier New" w:cs="Courier New"/>
    </w:rPr>
  </w:style>
  <w:style w:type="character" w:customStyle="1" w:styleId="WWCharLFO10LVL6">
    <w:name w:val="WW_CharLFO10LVL6"/>
    <w:rPr>
      <w:rFonts w:ascii="Wingdings" w:hAnsi="Wingdings"/>
    </w:rPr>
  </w:style>
  <w:style w:type="character" w:customStyle="1" w:styleId="WWCharLFO10LVL7">
    <w:name w:val="WW_CharLFO10LVL7"/>
    <w:rPr>
      <w:rFonts w:ascii="Symbol" w:hAnsi="Symbol"/>
    </w:rPr>
  </w:style>
  <w:style w:type="character" w:customStyle="1" w:styleId="WWCharLFO10LVL8">
    <w:name w:val="WW_CharLFO10LVL8"/>
    <w:rPr>
      <w:rFonts w:ascii="Courier New" w:hAnsi="Courier New" w:cs="Courier New"/>
    </w:rPr>
  </w:style>
  <w:style w:type="character" w:customStyle="1" w:styleId="WWCharLFO10LVL9">
    <w:name w:val="WW_CharLFO10LVL9"/>
    <w:rPr>
      <w:rFonts w:ascii="Wingdings" w:hAnsi="Wingdings"/>
    </w:rPr>
  </w:style>
  <w:style w:type="character" w:customStyle="1" w:styleId="WWCharLFO11LVL1">
    <w:name w:val="WW_CharLFO11LVL1"/>
    <w:rPr>
      <w:rFonts w:ascii="Symbol" w:hAnsi="Symbol"/>
    </w:rPr>
  </w:style>
  <w:style w:type="character" w:customStyle="1" w:styleId="WWCharLFO11LVL2">
    <w:name w:val="WW_CharLFO11LVL2"/>
    <w:rPr>
      <w:rFonts w:ascii="Courier New" w:hAnsi="Courier New" w:cs="Courier New"/>
    </w:rPr>
  </w:style>
  <w:style w:type="character" w:customStyle="1" w:styleId="WWCharLFO11LVL3">
    <w:name w:val="WW_CharLFO11LVL3"/>
    <w:rPr>
      <w:rFonts w:ascii="Wingdings" w:hAnsi="Wingdings"/>
    </w:rPr>
  </w:style>
  <w:style w:type="character" w:customStyle="1" w:styleId="WWCharLFO11LVL4">
    <w:name w:val="WW_CharLFO11LVL4"/>
    <w:rPr>
      <w:rFonts w:ascii="Symbol" w:hAnsi="Symbol"/>
    </w:rPr>
  </w:style>
  <w:style w:type="character" w:customStyle="1" w:styleId="WWCharLFO11LVL5">
    <w:name w:val="WW_CharLFO11LVL5"/>
    <w:rPr>
      <w:rFonts w:ascii="Courier New" w:hAnsi="Courier New" w:cs="Courier New"/>
    </w:rPr>
  </w:style>
  <w:style w:type="character" w:customStyle="1" w:styleId="WWCharLFO11LVL6">
    <w:name w:val="WW_CharLFO11LVL6"/>
    <w:rPr>
      <w:rFonts w:ascii="Wingdings" w:hAnsi="Wingdings"/>
    </w:rPr>
  </w:style>
  <w:style w:type="character" w:customStyle="1" w:styleId="WWCharLFO11LVL7">
    <w:name w:val="WW_CharLFO11LVL7"/>
    <w:rPr>
      <w:rFonts w:ascii="Symbol" w:hAnsi="Symbol"/>
    </w:rPr>
  </w:style>
  <w:style w:type="character" w:customStyle="1" w:styleId="WWCharLFO11LVL8">
    <w:name w:val="WW_CharLFO11LVL8"/>
    <w:rPr>
      <w:rFonts w:ascii="Courier New" w:hAnsi="Courier New" w:cs="Courier New"/>
    </w:rPr>
  </w:style>
  <w:style w:type="character" w:customStyle="1" w:styleId="WWCharLFO11LVL9">
    <w:name w:val="WW_CharLFO11LVL9"/>
    <w:rPr>
      <w:rFonts w:ascii="Wingdings" w:hAnsi="Wingdings"/>
    </w:rPr>
  </w:style>
  <w:style w:type="character" w:customStyle="1" w:styleId="WWCharLFO17LVL1">
    <w:name w:val="WW_CharLFO17LVL1"/>
    <w:rPr>
      <w:rFonts w:ascii="Symbol" w:hAnsi="Symbol"/>
    </w:rPr>
  </w:style>
  <w:style w:type="character" w:styleId="Uwydatnienie">
    <w:name w:val="Emphasis"/>
    <w:uiPriority w:val="20"/>
    <w:qFormat/>
    <w:rPr>
      <w:i/>
      <w:iCs/>
    </w:rPr>
  </w:style>
  <w:style w:type="paragraph" w:customStyle="1" w:styleId="Nagwek2">
    <w:name w:val="Nagłówek2"/>
    <w:basedOn w:val="Normalny1"/>
    <w:pPr>
      <w:tabs>
        <w:tab w:val="center" w:pos="4536"/>
        <w:tab w:val="right" w:pos="9072"/>
      </w:tabs>
    </w:pPr>
    <w:rPr>
      <w:szCs w:val="21"/>
    </w:rPr>
  </w:style>
  <w:style w:type="paragraph" w:styleId="Tekstpodstawowy">
    <w:name w:val="Body Text"/>
    <w:basedOn w:val="Normalny"/>
    <w:pPr>
      <w:spacing w:after="120"/>
    </w:pPr>
  </w:style>
  <w:style w:type="paragraph" w:customStyle="1" w:styleId="Normalny1">
    <w:name w:val="Normalny1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ascii="Liberation Serif" w:eastAsia="Lucida Sans Unicode" w:hAnsi="Liberation Serif" w:cs="Mangal"/>
      <w:kern w:val="1"/>
      <w:sz w:val="24"/>
      <w:szCs w:val="24"/>
      <w:lang w:eastAsia="zh-CN" w:bidi="hi-IN"/>
    </w:rPr>
  </w:style>
  <w:style w:type="paragraph" w:styleId="Lista">
    <w:name w:val="List"/>
    <w:basedOn w:val="Tekstpodstawowy"/>
    <w:rPr>
      <w:rFonts w:cs="Tahoma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eastAsia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852"/>
      </w:tabs>
      <w:overflowPunct w:val="0"/>
      <w:autoSpaceDE w:val="0"/>
      <w:ind w:left="426" w:hanging="426"/>
      <w:jc w:val="both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Styl1">
    <w:name w:val="Styl1"/>
    <w:basedOn w:val="Normalny"/>
    <w:pPr>
      <w:pBdr>
        <w:top w:val="single" w:sz="4" w:space="1" w:color="000000"/>
      </w:pBdr>
    </w:pPr>
  </w:style>
  <w:style w:type="paragraph" w:styleId="Akapitzlist">
    <w:name w:val="List Paragraph"/>
    <w:aliases w:val="punktor kreska,Normal,Wypunktowanie"/>
    <w:basedOn w:val="Normalny1"/>
    <w:link w:val="AkapitzlistZnak"/>
    <w:uiPriority w:val="34"/>
    <w:qFormat/>
    <w:pPr>
      <w:ind w:left="720"/>
    </w:pPr>
    <w:rPr>
      <w:szCs w:val="21"/>
    </w:rPr>
  </w:style>
  <w:style w:type="paragraph" w:styleId="NormalnyWeb">
    <w:name w:val="Normal (Web)"/>
    <w:basedOn w:val="Normalny1"/>
    <w:uiPriority w:val="99"/>
    <w:pPr>
      <w:widowControl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styleId="Nagwek">
    <w:name w:val="header"/>
    <w:basedOn w:val="Normalny"/>
    <w:link w:val="NagwekZnak1"/>
    <w:uiPriority w:val="99"/>
    <w:unhideWhenUsed/>
    <w:rsid w:val="0023137B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link w:val="Nagwek"/>
    <w:uiPriority w:val="99"/>
    <w:rsid w:val="0023137B"/>
    <w:rPr>
      <w:kern w:val="1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7C027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FB49DB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AkapitzlistZnak">
    <w:name w:val="Akapit z listą Znak"/>
    <w:aliases w:val="punktor kreska Znak,Normal Znak1,Wypunktowanie Znak"/>
    <w:link w:val="Akapitzlist"/>
    <w:uiPriority w:val="34"/>
    <w:qFormat/>
    <w:rsid w:val="00C87939"/>
    <w:rPr>
      <w:rFonts w:ascii="Liberation Serif" w:eastAsia="Lucida Sans Unicode" w:hAnsi="Liberation Serif" w:cs="Mangal"/>
      <w:kern w:val="1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outlineLvl w:val="2"/>
    </w:pPr>
    <w:rPr>
      <w:rFonts w:ascii="Courier New" w:eastAsia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3z0">
    <w:name w:val="WW8Num3z0"/>
    <w:rPr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bCs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eastAsia="Courier New" w:hAnsi="Courier New" w:cs="Courier New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6z0">
    <w:name w:val="WW8Num6z0"/>
    <w:rPr>
      <w:rFonts w:ascii="Symbol" w:eastAsia="Symbol" w:hAnsi="Symbol" w:cs="Symbol"/>
    </w:rPr>
  </w:style>
  <w:style w:type="character" w:customStyle="1" w:styleId="WW8Num6z1">
    <w:name w:val="WW8Num6z1"/>
    <w:rPr>
      <w:rFonts w:ascii="Courier New" w:eastAsia="Courier New" w:hAnsi="Courier New" w:cs="Courier New"/>
    </w:rPr>
  </w:style>
  <w:style w:type="character" w:customStyle="1" w:styleId="WW8Num6z2">
    <w:name w:val="WW8Num6z2"/>
    <w:rPr>
      <w:rFonts w:ascii="Wingdings" w:eastAsia="Wingdings" w:hAnsi="Wingdings" w:cs="Wingdings"/>
    </w:rPr>
  </w:style>
  <w:style w:type="character" w:customStyle="1" w:styleId="WW8Num7z0">
    <w:name w:val="WW8Num7z0"/>
    <w:rPr>
      <w:rFonts w:ascii="Symbol" w:eastAsia="Symbol" w:hAnsi="Symbol" w:cs="Symbol"/>
    </w:rPr>
  </w:style>
  <w:style w:type="character" w:customStyle="1" w:styleId="WW8Num7z1">
    <w:name w:val="WW8Num7z1"/>
    <w:rPr>
      <w:rFonts w:ascii="Courier New" w:eastAsia="Courier New" w:hAnsi="Courier New" w:cs="Courier New"/>
    </w:rPr>
  </w:style>
  <w:style w:type="character" w:customStyle="1" w:styleId="WW8Num7z2">
    <w:name w:val="WW8Num7z2"/>
    <w:rPr>
      <w:rFonts w:ascii="Wingdings" w:eastAsia="Wingdings" w:hAnsi="Wingdings" w:cs="Wingdings"/>
    </w:rPr>
  </w:style>
  <w:style w:type="character" w:customStyle="1" w:styleId="WW8Num8z0">
    <w:name w:val="WW8Num8z0"/>
    <w:rPr>
      <w:rFonts w:ascii="Symbol" w:eastAsia="Symbol" w:hAnsi="Symbol" w:cs="Symbol"/>
    </w:rPr>
  </w:style>
  <w:style w:type="character" w:customStyle="1" w:styleId="WW8Num8z1">
    <w:name w:val="WW8Num8z1"/>
    <w:rPr>
      <w:rFonts w:ascii="Courier New" w:eastAsia="Courier New" w:hAnsi="Courier New" w:cs="Courier New"/>
    </w:rPr>
  </w:style>
  <w:style w:type="character" w:customStyle="1" w:styleId="WW8Num8z2">
    <w:name w:val="WW8Num8z2"/>
    <w:rPr>
      <w:rFonts w:ascii="Wingdings" w:eastAsia="Wingdings" w:hAnsi="Wingdings" w:cs="Wingdings"/>
    </w:rPr>
  </w:style>
  <w:style w:type="character" w:customStyle="1" w:styleId="WW8Num10z0">
    <w:name w:val="WW8Num10z0"/>
    <w:rPr>
      <w:rFonts w:ascii="Symbol" w:eastAsia="Symbol" w:hAnsi="Symbol" w:cs="Symbol"/>
    </w:rPr>
  </w:style>
  <w:style w:type="character" w:customStyle="1" w:styleId="WW8Num10z1">
    <w:name w:val="WW8Num10z1"/>
    <w:rPr>
      <w:rFonts w:ascii="Courier New" w:eastAsia="Courier New" w:hAnsi="Courier New" w:cs="Courier New"/>
    </w:rPr>
  </w:style>
  <w:style w:type="character" w:customStyle="1" w:styleId="WW8Num10z2">
    <w:name w:val="WW8Num10z2"/>
    <w:rPr>
      <w:rFonts w:ascii="Wingdings" w:eastAsia="Wingdings" w:hAnsi="Wingdings" w:cs="Wingdings"/>
    </w:rPr>
  </w:style>
  <w:style w:type="character" w:customStyle="1" w:styleId="WW8Num12z0">
    <w:name w:val="WW8Num12z0"/>
    <w:rPr>
      <w:rFonts w:ascii="Symbol" w:eastAsia="Symbol" w:hAnsi="Symbol" w:cs="Symbol"/>
    </w:rPr>
  </w:style>
  <w:style w:type="character" w:customStyle="1" w:styleId="WW8Num12z1">
    <w:name w:val="WW8Num12z1"/>
    <w:rPr>
      <w:rFonts w:ascii="Courier New" w:eastAsia="Courier New" w:hAnsi="Courier New" w:cs="Courier New"/>
    </w:rPr>
  </w:style>
  <w:style w:type="character" w:customStyle="1" w:styleId="WW8Num12z2">
    <w:name w:val="WW8Num12z2"/>
    <w:rPr>
      <w:rFonts w:ascii="Wingdings" w:eastAsia="Wingdings" w:hAnsi="Wingdings" w:cs="Wingdings"/>
    </w:rPr>
  </w:style>
  <w:style w:type="character" w:customStyle="1" w:styleId="Domylnaczcionkaakapitu1">
    <w:name w:val="Domyślna czcionka akapitu1"/>
  </w:style>
  <w:style w:type="character" w:customStyle="1" w:styleId="Numerstrony1">
    <w:name w:val="Numer strony1"/>
    <w:basedOn w:val="Domylnaczcionkaakapitu1"/>
  </w:style>
  <w:style w:type="character" w:customStyle="1" w:styleId="Znakiprzypiswkocowych">
    <w:name w:val="Znaki przypisów końcowych"/>
    <w:rPr>
      <w:position w:val="24"/>
      <w:sz w:val="16"/>
    </w:rPr>
  </w:style>
  <w:style w:type="character" w:customStyle="1" w:styleId="StopkaZnak">
    <w:name w:val="Stopka Znak"/>
    <w:rPr>
      <w:sz w:val="24"/>
      <w:szCs w:val="24"/>
    </w:rPr>
  </w:style>
  <w:style w:type="character" w:styleId="Tytuksiki">
    <w:name w:val="Book Title"/>
    <w:qFormat/>
    <w:rPr>
      <w:b/>
      <w:bCs/>
      <w:smallCaps/>
      <w:spacing w:val="5"/>
    </w:rPr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Znakinumeracji">
    <w:name w:val="Znaki numeracji"/>
  </w:style>
  <w:style w:type="character" w:customStyle="1" w:styleId="StandardZnak">
    <w:name w:val="Standard Znak"/>
    <w:rPr>
      <w:rFonts w:ascii="Times New Roman" w:eastAsia="Times New Roman" w:hAnsi="Times New Roman" w:cs="Times New Roman"/>
      <w:lang w:bidi="ar-SA"/>
    </w:rPr>
  </w:style>
  <w:style w:type="character" w:customStyle="1" w:styleId="Styl1Znak">
    <w:name w:val="Styl1 Znak"/>
    <w:rPr>
      <w:rFonts w:ascii="Times New Roman" w:eastAsia="Times New Roman" w:hAnsi="Times New Roman" w:cs="Times New Roman"/>
      <w:lang w:bidi="ar-SA"/>
    </w:rPr>
  </w:style>
  <w:style w:type="character" w:customStyle="1" w:styleId="Hipercze1">
    <w:name w:val="Hiperłącze1"/>
    <w:rPr>
      <w:color w:val="0000FF"/>
      <w:u w:val="single"/>
    </w:rPr>
  </w:style>
  <w:style w:type="character" w:customStyle="1" w:styleId="highlight">
    <w:name w:val="highlight"/>
    <w:basedOn w:val="Domylnaczcionkaakapitu2"/>
  </w:style>
  <w:style w:type="character" w:styleId="Hipercze">
    <w:name w:val="Hyperlink"/>
    <w:rPr>
      <w:color w:val="000080"/>
      <w:u w:val="single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alb">
    <w:name w:val="a_lb"/>
    <w:basedOn w:val="Domylnaczcionkaakapitu2"/>
  </w:style>
  <w:style w:type="character" w:customStyle="1" w:styleId="fn-ref">
    <w:name w:val="fn-ref"/>
    <w:basedOn w:val="Domylnaczcionkaakapitu2"/>
  </w:style>
  <w:style w:type="character" w:customStyle="1" w:styleId="alb-s">
    <w:name w:val="a_lb-s"/>
    <w:basedOn w:val="Domylnaczcionkaakapitu2"/>
  </w:style>
  <w:style w:type="character" w:customStyle="1" w:styleId="NagwekZnak">
    <w:name w:val="Nagłówek Znak"/>
    <w:rPr>
      <w:szCs w:val="21"/>
    </w:rPr>
  </w:style>
  <w:style w:type="character" w:customStyle="1" w:styleId="WWCharLFO4LVL1">
    <w:name w:val="WW_CharLFO4LVL1"/>
    <w:rPr>
      <w:sz w:val="24"/>
      <w:szCs w:val="24"/>
    </w:rPr>
  </w:style>
  <w:style w:type="character" w:customStyle="1" w:styleId="WWCharLFO5LVL1">
    <w:name w:val="WW_CharLFO5LVL1"/>
    <w:rPr>
      <w:bCs/>
    </w:rPr>
  </w:style>
  <w:style w:type="character" w:customStyle="1" w:styleId="WWCharLFO6LVL1">
    <w:name w:val="WW_CharLFO6LVL1"/>
    <w:rPr>
      <w:rFonts w:ascii="Symbol" w:hAnsi="Symbol"/>
    </w:rPr>
  </w:style>
  <w:style w:type="character" w:customStyle="1" w:styleId="WWCharLFO6LVL2">
    <w:name w:val="WW_CharLFO6LVL2"/>
    <w:rPr>
      <w:rFonts w:ascii="Courier New" w:hAnsi="Courier New" w:cs="Courier New"/>
    </w:rPr>
  </w:style>
  <w:style w:type="character" w:customStyle="1" w:styleId="WWCharLFO6LVL3">
    <w:name w:val="WW_CharLFO6LVL3"/>
    <w:rPr>
      <w:rFonts w:ascii="Wingdings" w:hAnsi="Wingdings"/>
    </w:rPr>
  </w:style>
  <w:style w:type="character" w:customStyle="1" w:styleId="WWCharLFO6LVL4">
    <w:name w:val="WW_CharLFO6LVL4"/>
    <w:rPr>
      <w:rFonts w:ascii="Symbol" w:hAnsi="Symbol"/>
    </w:rPr>
  </w:style>
  <w:style w:type="character" w:customStyle="1" w:styleId="WWCharLFO6LVL5">
    <w:name w:val="WW_CharLFO6LVL5"/>
    <w:rPr>
      <w:rFonts w:ascii="Courier New" w:hAnsi="Courier New" w:cs="Courier New"/>
    </w:rPr>
  </w:style>
  <w:style w:type="character" w:customStyle="1" w:styleId="WWCharLFO6LVL6">
    <w:name w:val="WW_CharLFO6LVL6"/>
    <w:rPr>
      <w:rFonts w:ascii="Wingdings" w:hAnsi="Wingdings"/>
    </w:rPr>
  </w:style>
  <w:style w:type="character" w:customStyle="1" w:styleId="WWCharLFO6LVL7">
    <w:name w:val="WW_CharLFO6LVL7"/>
    <w:rPr>
      <w:rFonts w:ascii="Symbol" w:hAnsi="Symbol"/>
    </w:rPr>
  </w:style>
  <w:style w:type="character" w:customStyle="1" w:styleId="WWCharLFO6LVL8">
    <w:name w:val="WW_CharLFO6LVL8"/>
    <w:rPr>
      <w:rFonts w:ascii="Courier New" w:hAnsi="Courier New" w:cs="Courier New"/>
    </w:rPr>
  </w:style>
  <w:style w:type="character" w:customStyle="1" w:styleId="WWCharLFO6LVL9">
    <w:name w:val="WW_CharLFO6LVL9"/>
    <w:rPr>
      <w:rFonts w:ascii="Wingdings" w:hAnsi="Wingdings"/>
    </w:rPr>
  </w:style>
  <w:style w:type="character" w:customStyle="1" w:styleId="WWCharLFO7LVL1">
    <w:name w:val="WW_CharLFO7LVL1"/>
    <w:rPr>
      <w:rFonts w:ascii="Symbol" w:hAnsi="Symbol"/>
    </w:rPr>
  </w:style>
  <w:style w:type="character" w:customStyle="1" w:styleId="WWCharLFO7LVL2">
    <w:name w:val="WW_CharLFO7LVL2"/>
    <w:rPr>
      <w:rFonts w:ascii="Courier New" w:hAnsi="Courier New" w:cs="Courier New"/>
    </w:rPr>
  </w:style>
  <w:style w:type="character" w:customStyle="1" w:styleId="WWCharLFO7LVL3">
    <w:name w:val="WW_CharLFO7LVL3"/>
    <w:rPr>
      <w:rFonts w:ascii="Wingdings" w:hAnsi="Wingdings"/>
    </w:rPr>
  </w:style>
  <w:style w:type="character" w:customStyle="1" w:styleId="WWCharLFO7LVL4">
    <w:name w:val="WW_CharLFO7LVL4"/>
    <w:rPr>
      <w:rFonts w:ascii="Symbol" w:hAnsi="Symbol"/>
    </w:rPr>
  </w:style>
  <w:style w:type="character" w:customStyle="1" w:styleId="WWCharLFO7LVL5">
    <w:name w:val="WW_CharLFO7LVL5"/>
    <w:rPr>
      <w:rFonts w:ascii="Courier New" w:hAnsi="Courier New" w:cs="Courier New"/>
    </w:rPr>
  </w:style>
  <w:style w:type="character" w:customStyle="1" w:styleId="WWCharLFO7LVL6">
    <w:name w:val="WW_CharLFO7LVL6"/>
    <w:rPr>
      <w:rFonts w:ascii="Wingdings" w:hAnsi="Wingdings"/>
    </w:rPr>
  </w:style>
  <w:style w:type="character" w:customStyle="1" w:styleId="WWCharLFO7LVL7">
    <w:name w:val="WW_CharLFO7LVL7"/>
    <w:rPr>
      <w:rFonts w:ascii="Symbol" w:hAnsi="Symbol"/>
    </w:rPr>
  </w:style>
  <w:style w:type="character" w:customStyle="1" w:styleId="WWCharLFO7LVL8">
    <w:name w:val="WW_CharLFO7LVL8"/>
    <w:rPr>
      <w:rFonts w:ascii="Courier New" w:hAnsi="Courier New" w:cs="Courier New"/>
    </w:rPr>
  </w:style>
  <w:style w:type="character" w:customStyle="1" w:styleId="WWCharLFO7LVL9">
    <w:name w:val="WW_CharLFO7LVL9"/>
    <w:rPr>
      <w:rFonts w:ascii="Wingdings" w:hAnsi="Wingdings"/>
    </w:rPr>
  </w:style>
  <w:style w:type="character" w:customStyle="1" w:styleId="WWCharLFO8LVL1">
    <w:name w:val="WW_CharLFO8LVL1"/>
    <w:rPr>
      <w:b/>
    </w:rPr>
  </w:style>
  <w:style w:type="character" w:customStyle="1" w:styleId="WWCharLFO9LVL1">
    <w:name w:val="WW_CharLFO9LVL1"/>
    <w:rPr>
      <w:rFonts w:ascii="Symbol" w:hAnsi="Symbol"/>
    </w:rPr>
  </w:style>
  <w:style w:type="character" w:customStyle="1" w:styleId="WWCharLFO9LVL2">
    <w:name w:val="WW_CharLFO9LVL2"/>
    <w:rPr>
      <w:rFonts w:ascii="Courier New" w:hAnsi="Courier New" w:cs="Courier New"/>
    </w:rPr>
  </w:style>
  <w:style w:type="character" w:customStyle="1" w:styleId="WWCharLFO9LVL3">
    <w:name w:val="WW_CharLFO9LVL3"/>
    <w:rPr>
      <w:rFonts w:ascii="Wingdings" w:hAnsi="Wingdings"/>
    </w:rPr>
  </w:style>
  <w:style w:type="character" w:customStyle="1" w:styleId="WWCharLFO9LVL4">
    <w:name w:val="WW_CharLFO9LVL4"/>
    <w:rPr>
      <w:rFonts w:ascii="Symbol" w:hAnsi="Symbol"/>
    </w:rPr>
  </w:style>
  <w:style w:type="character" w:customStyle="1" w:styleId="WWCharLFO9LVL5">
    <w:name w:val="WW_CharLFO9LVL5"/>
    <w:rPr>
      <w:rFonts w:ascii="Courier New" w:hAnsi="Courier New" w:cs="Courier New"/>
    </w:rPr>
  </w:style>
  <w:style w:type="character" w:customStyle="1" w:styleId="WWCharLFO9LVL6">
    <w:name w:val="WW_CharLFO9LVL6"/>
    <w:rPr>
      <w:rFonts w:ascii="Wingdings" w:hAnsi="Wingdings"/>
    </w:rPr>
  </w:style>
  <w:style w:type="character" w:customStyle="1" w:styleId="WWCharLFO9LVL7">
    <w:name w:val="WW_CharLFO9LVL7"/>
    <w:rPr>
      <w:rFonts w:ascii="Symbol" w:hAnsi="Symbol"/>
    </w:rPr>
  </w:style>
  <w:style w:type="character" w:customStyle="1" w:styleId="WWCharLFO9LVL8">
    <w:name w:val="WW_CharLFO9LVL8"/>
    <w:rPr>
      <w:rFonts w:ascii="Courier New" w:hAnsi="Courier New" w:cs="Courier New"/>
    </w:rPr>
  </w:style>
  <w:style w:type="character" w:customStyle="1" w:styleId="WWCharLFO9LVL9">
    <w:name w:val="WW_CharLFO9LVL9"/>
    <w:rPr>
      <w:rFonts w:ascii="Wingdings" w:hAnsi="Wingdings"/>
    </w:rPr>
  </w:style>
  <w:style w:type="character" w:customStyle="1" w:styleId="WWCharLFO10LVL1">
    <w:name w:val="WW_CharLFO10LVL1"/>
    <w:rPr>
      <w:rFonts w:ascii="Symbol" w:hAnsi="Symbol"/>
    </w:rPr>
  </w:style>
  <w:style w:type="character" w:customStyle="1" w:styleId="WWCharLFO10LVL2">
    <w:name w:val="WW_CharLFO10LVL2"/>
    <w:rPr>
      <w:rFonts w:ascii="Courier New" w:hAnsi="Courier New" w:cs="Courier New"/>
    </w:rPr>
  </w:style>
  <w:style w:type="character" w:customStyle="1" w:styleId="WWCharLFO10LVL3">
    <w:name w:val="WW_CharLFO10LVL3"/>
    <w:rPr>
      <w:rFonts w:ascii="Wingdings" w:hAnsi="Wingdings"/>
    </w:rPr>
  </w:style>
  <w:style w:type="character" w:customStyle="1" w:styleId="WWCharLFO10LVL4">
    <w:name w:val="WW_CharLFO10LVL4"/>
    <w:rPr>
      <w:rFonts w:ascii="Symbol" w:hAnsi="Symbol"/>
    </w:rPr>
  </w:style>
  <w:style w:type="character" w:customStyle="1" w:styleId="WWCharLFO10LVL5">
    <w:name w:val="WW_CharLFO10LVL5"/>
    <w:rPr>
      <w:rFonts w:ascii="Courier New" w:hAnsi="Courier New" w:cs="Courier New"/>
    </w:rPr>
  </w:style>
  <w:style w:type="character" w:customStyle="1" w:styleId="WWCharLFO10LVL6">
    <w:name w:val="WW_CharLFO10LVL6"/>
    <w:rPr>
      <w:rFonts w:ascii="Wingdings" w:hAnsi="Wingdings"/>
    </w:rPr>
  </w:style>
  <w:style w:type="character" w:customStyle="1" w:styleId="WWCharLFO10LVL7">
    <w:name w:val="WW_CharLFO10LVL7"/>
    <w:rPr>
      <w:rFonts w:ascii="Symbol" w:hAnsi="Symbol"/>
    </w:rPr>
  </w:style>
  <w:style w:type="character" w:customStyle="1" w:styleId="WWCharLFO10LVL8">
    <w:name w:val="WW_CharLFO10LVL8"/>
    <w:rPr>
      <w:rFonts w:ascii="Courier New" w:hAnsi="Courier New" w:cs="Courier New"/>
    </w:rPr>
  </w:style>
  <w:style w:type="character" w:customStyle="1" w:styleId="WWCharLFO10LVL9">
    <w:name w:val="WW_CharLFO10LVL9"/>
    <w:rPr>
      <w:rFonts w:ascii="Wingdings" w:hAnsi="Wingdings"/>
    </w:rPr>
  </w:style>
  <w:style w:type="character" w:customStyle="1" w:styleId="WWCharLFO11LVL1">
    <w:name w:val="WW_CharLFO11LVL1"/>
    <w:rPr>
      <w:rFonts w:ascii="Symbol" w:hAnsi="Symbol"/>
    </w:rPr>
  </w:style>
  <w:style w:type="character" w:customStyle="1" w:styleId="WWCharLFO11LVL2">
    <w:name w:val="WW_CharLFO11LVL2"/>
    <w:rPr>
      <w:rFonts w:ascii="Courier New" w:hAnsi="Courier New" w:cs="Courier New"/>
    </w:rPr>
  </w:style>
  <w:style w:type="character" w:customStyle="1" w:styleId="WWCharLFO11LVL3">
    <w:name w:val="WW_CharLFO11LVL3"/>
    <w:rPr>
      <w:rFonts w:ascii="Wingdings" w:hAnsi="Wingdings"/>
    </w:rPr>
  </w:style>
  <w:style w:type="character" w:customStyle="1" w:styleId="WWCharLFO11LVL4">
    <w:name w:val="WW_CharLFO11LVL4"/>
    <w:rPr>
      <w:rFonts w:ascii="Symbol" w:hAnsi="Symbol"/>
    </w:rPr>
  </w:style>
  <w:style w:type="character" w:customStyle="1" w:styleId="WWCharLFO11LVL5">
    <w:name w:val="WW_CharLFO11LVL5"/>
    <w:rPr>
      <w:rFonts w:ascii="Courier New" w:hAnsi="Courier New" w:cs="Courier New"/>
    </w:rPr>
  </w:style>
  <w:style w:type="character" w:customStyle="1" w:styleId="WWCharLFO11LVL6">
    <w:name w:val="WW_CharLFO11LVL6"/>
    <w:rPr>
      <w:rFonts w:ascii="Wingdings" w:hAnsi="Wingdings"/>
    </w:rPr>
  </w:style>
  <w:style w:type="character" w:customStyle="1" w:styleId="WWCharLFO11LVL7">
    <w:name w:val="WW_CharLFO11LVL7"/>
    <w:rPr>
      <w:rFonts w:ascii="Symbol" w:hAnsi="Symbol"/>
    </w:rPr>
  </w:style>
  <w:style w:type="character" w:customStyle="1" w:styleId="WWCharLFO11LVL8">
    <w:name w:val="WW_CharLFO11LVL8"/>
    <w:rPr>
      <w:rFonts w:ascii="Courier New" w:hAnsi="Courier New" w:cs="Courier New"/>
    </w:rPr>
  </w:style>
  <w:style w:type="character" w:customStyle="1" w:styleId="WWCharLFO11LVL9">
    <w:name w:val="WW_CharLFO11LVL9"/>
    <w:rPr>
      <w:rFonts w:ascii="Wingdings" w:hAnsi="Wingdings"/>
    </w:rPr>
  </w:style>
  <w:style w:type="character" w:customStyle="1" w:styleId="WWCharLFO17LVL1">
    <w:name w:val="WW_CharLFO17LVL1"/>
    <w:rPr>
      <w:rFonts w:ascii="Symbol" w:hAnsi="Symbol"/>
    </w:rPr>
  </w:style>
  <w:style w:type="character" w:styleId="Uwydatnienie">
    <w:name w:val="Emphasis"/>
    <w:uiPriority w:val="20"/>
    <w:qFormat/>
    <w:rPr>
      <w:i/>
      <w:iCs/>
    </w:rPr>
  </w:style>
  <w:style w:type="paragraph" w:customStyle="1" w:styleId="Nagwek2">
    <w:name w:val="Nagłówek2"/>
    <w:basedOn w:val="Normalny1"/>
    <w:pPr>
      <w:tabs>
        <w:tab w:val="center" w:pos="4536"/>
        <w:tab w:val="right" w:pos="9072"/>
      </w:tabs>
    </w:pPr>
    <w:rPr>
      <w:szCs w:val="21"/>
    </w:rPr>
  </w:style>
  <w:style w:type="paragraph" w:styleId="Tekstpodstawowy">
    <w:name w:val="Body Text"/>
    <w:basedOn w:val="Normalny"/>
    <w:pPr>
      <w:spacing w:after="120"/>
    </w:pPr>
  </w:style>
  <w:style w:type="paragraph" w:customStyle="1" w:styleId="Normalny1">
    <w:name w:val="Normalny1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ascii="Liberation Serif" w:eastAsia="Lucida Sans Unicode" w:hAnsi="Liberation Serif" w:cs="Mangal"/>
      <w:kern w:val="1"/>
      <w:sz w:val="24"/>
      <w:szCs w:val="24"/>
      <w:lang w:eastAsia="zh-CN" w:bidi="hi-IN"/>
    </w:rPr>
  </w:style>
  <w:style w:type="paragraph" w:styleId="Lista">
    <w:name w:val="List"/>
    <w:basedOn w:val="Tekstpodstawowy"/>
    <w:rPr>
      <w:rFonts w:cs="Tahoma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eastAsia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852"/>
      </w:tabs>
      <w:overflowPunct w:val="0"/>
      <w:autoSpaceDE w:val="0"/>
      <w:ind w:left="426" w:hanging="426"/>
      <w:jc w:val="both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Styl1">
    <w:name w:val="Styl1"/>
    <w:basedOn w:val="Normalny"/>
    <w:pPr>
      <w:pBdr>
        <w:top w:val="single" w:sz="4" w:space="1" w:color="000000"/>
      </w:pBdr>
    </w:pPr>
  </w:style>
  <w:style w:type="paragraph" w:styleId="Akapitzlist">
    <w:name w:val="List Paragraph"/>
    <w:aliases w:val="punktor kreska,Normal,Wypunktowanie"/>
    <w:basedOn w:val="Normalny1"/>
    <w:link w:val="AkapitzlistZnak"/>
    <w:uiPriority w:val="34"/>
    <w:qFormat/>
    <w:pPr>
      <w:ind w:left="720"/>
    </w:pPr>
    <w:rPr>
      <w:szCs w:val="21"/>
    </w:rPr>
  </w:style>
  <w:style w:type="paragraph" w:styleId="NormalnyWeb">
    <w:name w:val="Normal (Web)"/>
    <w:basedOn w:val="Normalny1"/>
    <w:uiPriority w:val="99"/>
    <w:pPr>
      <w:widowControl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styleId="Nagwek">
    <w:name w:val="header"/>
    <w:basedOn w:val="Normalny"/>
    <w:link w:val="NagwekZnak1"/>
    <w:uiPriority w:val="99"/>
    <w:unhideWhenUsed/>
    <w:rsid w:val="0023137B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link w:val="Nagwek"/>
    <w:uiPriority w:val="99"/>
    <w:rsid w:val="0023137B"/>
    <w:rPr>
      <w:kern w:val="1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7C027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FB49DB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AkapitzlistZnak">
    <w:name w:val="Akapit z listą Znak"/>
    <w:aliases w:val="punktor kreska Znak,Normal Znak1,Wypunktowanie Znak"/>
    <w:link w:val="Akapitzlist"/>
    <w:uiPriority w:val="34"/>
    <w:qFormat/>
    <w:rsid w:val="00C87939"/>
    <w:rPr>
      <w:rFonts w:ascii="Liberation Serif" w:eastAsia="Lucida Sans Unicode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48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0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59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5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49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4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25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094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259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51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36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934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840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750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023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273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1554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40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5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085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52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6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49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277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94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803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43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610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39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08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75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470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36090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6051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984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823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0832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98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56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00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24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187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256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289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5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11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81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25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2E80DD-A5B7-4759-83DC-9EA87A814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4905</Words>
  <Characters>29435</Characters>
  <Application>Microsoft Office Word</Application>
  <DocSecurity>0</DocSecurity>
  <Lines>245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2023-09-25T06:46:00Z</cp:lastPrinted>
  <dcterms:created xsi:type="dcterms:W3CDTF">2023-09-26T11:43:00Z</dcterms:created>
  <dcterms:modified xsi:type="dcterms:W3CDTF">2023-09-26T11:43:00Z</dcterms:modified>
</cp:coreProperties>
</file>