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777" w:rsidRDefault="00457D7F">
      <w:pPr>
        <w:pStyle w:val="Standard"/>
        <w:tabs>
          <w:tab w:val="left" w:pos="6645"/>
        </w:tabs>
      </w:pPr>
      <w:bookmarkStart w:id="0" w:name="_GoBack"/>
      <w:bookmarkEnd w:id="0"/>
      <w:r>
        <w:rPr>
          <w:noProof/>
          <w:lang w:eastAsia="pl-PL"/>
        </w:rPr>
        <mc:AlternateContent>
          <mc:Choice Requires="wps">
            <w:drawing>
              <wp:anchor distT="0" distB="0" distL="114300" distR="114300" simplePos="0" relativeHeight="251657728" behindDoc="1" locked="0" layoutInCell="1" allowOverlap="1">
                <wp:simplePos x="0" y="0"/>
                <wp:positionH relativeFrom="margin">
                  <wp:posOffset>0</wp:posOffset>
                </wp:positionH>
                <wp:positionV relativeFrom="margin">
                  <wp:posOffset>-114300</wp:posOffset>
                </wp:positionV>
                <wp:extent cx="2851150" cy="1224280"/>
                <wp:effectExtent l="0" t="0" r="6350" b="1397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0" cy="1224280"/>
                        </a:xfrm>
                        <a:prstGeom prst="rect">
                          <a:avLst/>
                        </a:prstGeom>
                        <a:noFill/>
                        <a:ln>
                          <a:noFill/>
                          <a:prstDash/>
                        </a:ln>
                      </wps:spPr>
                      <wps:txbx>
                        <w:txbxContent>
                          <w:p w:rsidR="00703777" w:rsidRDefault="00703777">
                            <w:pPr>
                              <w:pStyle w:val="Standard"/>
                              <w:widowControl w:val="0"/>
                              <w:tabs>
                                <w:tab w:val="right" w:pos="9639"/>
                              </w:tabs>
                              <w:jc w:val="center"/>
                              <w:rPr>
                                <w:rFonts w:eastAsia="Lucida Sans Unicode" w:cs="Tahoma"/>
                                <w:b/>
                                <w:bCs/>
                                <w:smallCaps/>
                                <w:sz w:val="32"/>
                                <w:lang w:eastAsia="pl-PL"/>
                              </w:rPr>
                            </w:pPr>
                          </w:p>
                          <w:p w:rsidR="00703777" w:rsidRDefault="003E5E1D">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703777" w:rsidRDefault="003E5E1D">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ul. Chyliczkowska 14, 05-500 Piaseczno</w:t>
                            </w:r>
                          </w:p>
                          <w:p w:rsidR="00703777" w:rsidRDefault="003E5E1D">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 756-</w:t>
                            </w:r>
                            <w:r w:rsidR="00AD3A51">
                              <w:rPr>
                                <w:rFonts w:eastAsia="Lucida Sans Unicode" w:cs="Tahoma"/>
                                <w:szCs w:val="16"/>
                                <w:lang w:eastAsia="pl-PL"/>
                              </w:rPr>
                              <w:t>62-54</w:t>
                            </w:r>
                            <w:r>
                              <w:rPr>
                                <w:rFonts w:eastAsia="Lucida Sans Unicode" w:cs="Tahoma"/>
                                <w:szCs w:val="16"/>
                                <w:lang w:eastAsia="pl-PL"/>
                              </w:rPr>
                              <w:t xml:space="preserve">, fax. (22) 737-11-58   </w:t>
                            </w:r>
                          </w:p>
                          <w:p w:rsidR="00703777" w:rsidRDefault="00703777">
                            <w:pPr>
                              <w:pStyle w:val="Standard"/>
                              <w:widowControl w:val="0"/>
                              <w:tabs>
                                <w:tab w:val="center" w:pos="4536"/>
                                <w:tab w:val="right" w:pos="9072"/>
                                <w:tab w:val="right" w:pos="9639"/>
                              </w:tabs>
                              <w:jc w:val="center"/>
                              <w:rPr>
                                <w:rFonts w:eastAsia="Lucida Sans Unicode" w:cs="Tahoma"/>
                                <w:b/>
                                <w:szCs w:val="16"/>
                                <w:lang w:eastAsia="pl-PL"/>
                              </w:rPr>
                            </w:pPr>
                          </w:p>
                          <w:p w:rsidR="00703777" w:rsidRDefault="003E5E1D">
                            <w:pPr>
                              <w:pStyle w:val="Standard"/>
                              <w:widowControl w:val="0"/>
                              <w:tabs>
                                <w:tab w:val="center" w:pos="4536"/>
                                <w:tab w:val="right" w:pos="9072"/>
                                <w:tab w:val="right" w:pos="9639"/>
                              </w:tabs>
                              <w:jc w:val="center"/>
                            </w:pPr>
                            <w:r>
                              <w:rPr>
                                <w:rFonts w:eastAsia="Lucida Sans Unicode" w:cs="Tahoma"/>
                                <w:b/>
                                <w:szCs w:val="16"/>
                                <w:lang w:eastAsia="pl-PL"/>
                              </w:rPr>
                              <w:t>N</w:t>
                            </w:r>
                            <w:r>
                              <w:rPr>
                                <w:b/>
                              </w:rPr>
                              <w:t>r rej. ARB.6740.</w:t>
                            </w:r>
                            <w:r w:rsidR="00AD3A51">
                              <w:rPr>
                                <w:b/>
                              </w:rPr>
                              <w:t>1060</w:t>
                            </w:r>
                            <w:r>
                              <w:rPr>
                                <w:b/>
                              </w:rPr>
                              <w:t>.202</w:t>
                            </w:r>
                            <w:r w:rsidR="00AD3A51">
                              <w:rPr>
                                <w:b/>
                              </w:rPr>
                              <w:t>2</w:t>
                            </w:r>
                            <w:r>
                              <w:rPr>
                                <w:b/>
                              </w:rPr>
                              <w:t>. PK</w:t>
                            </w:r>
                          </w:p>
                          <w:p w:rsidR="00703777" w:rsidRDefault="00703777">
                            <w:pPr>
                              <w:pStyle w:val="Standard"/>
                              <w:widowControl w:val="0"/>
                              <w:tabs>
                                <w:tab w:val="center" w:pos="4536"/>
                                <w:tab w:val="right" w:pos="9072"/>
                                <w:tab w:val="right" w:pos="9639"/>
                              </w:tabs>
                              <w:rPr>
                                <w:rFonts w:eastAsia="Lucida Sans Unicode" w:cs="Tahoma"/>
                                <w:b/>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0;margin-top:-9pt;width:224.5pt;height:96.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" filled="f" stroked="f">
                <v:path arrowok="t"/>
                <v:textbox inset="0,0,0,0">
                  <w:txbxContent>
                    <w:p w:rsidR="00703777" w:rsidRDefault="00703777">
                      <w:pPr>
                        <w:pStyle w:val="Standard"/>
                        <w:widowControl w:val="0"/>
                        <w:tabs>
                          <w:tab w:val="right" w:pos="9639"/>
                        </w:tabs>
                        <w:jc w:val="center"/>
                        <w:rPr>
                          <w:rFonts w:eastAsia="Lucida Sans Unicode" w:cs="Tahoma"/>
                          <w:b/>
                          <w:bCs/>
                          <w:smallCaps/>
                          <w:sz w:val="32"/>
                          <w:lang w:eastAsia="pl-PL"/>
                        </w:rPr>
                      </w:pPr>
                    </w:p>
                    <w:p w:rsidR="00703777" w:rsidRDefault="003E5E1D">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703777" w:rsidRDefault="003E5E1D">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ul. Chyliczkowska 14, 05-500 Piaseczno</w:t>
                      </w:r>
                    </w:p>
                    <w:p w:rsidR="00703777" w:rsidRDefault="003E5E1D">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 756-</w:t>
                      </w:r>
                      <w:r w:rsidR="00AD3A51">
                        <w:rPr>
                          <w:rFonts w:eastAsia="Lucida Sans Unicode" w:cs="Tahoma"/>
                          <w:szCs w:val="16"/>
                          <w:lang w:eastAsia="pl-PL"/>
                        </w:rPr>
                        <w:t>62-54</w:t>
                      </w:r>
                      <w:r>
                        <w:rPr>
                          <w:rFonts w:eastAsia="Lucida Sans Unicode" w:cs="Tahoma"/>
                          <w:szCs w:val="16"/>
                          <w:lang w:eastAsia="pl-PL"/>
                        </w:rPr>
                        <w:t xml:space="preserve">, fax. (22) 737-11-58   </w:t>
                      </w:r>
                    </w:p>
                    <w:p w:rsidR="00703777" w:rsidRDefault="00703777">
                      <w:pPr>
                        <w:pStyle w:val="Standard"/>
                        <w:widowControl w:val="0"/>
                        <w:tabs>
                          <w:tab w:val="center" w:pos="4536"/>
                          <w:tab w:val="right" w:pos="9072"/>
                          <w:tab w:val="right" w:pos="9639"/>
                        </w:tabs>
                        <w:jc w:val="center"/>
                        <w:rPr>
                          <w:rFonts w:eastAsia="Lucida Sans Unicode" w:cs="Tahoma"/>
                          <w:b/>
                          <w:szCs w:val="16"/>
                          <w:lang w:eastAsia="pl-PL"/>
                        </w:rPr>
                      </w:pPr>
                    </w:p>
                    <w:p w:rsidR="00703777" w:rsidRDefault="003E5E1D">
                      <w:pPr>
                        <w:pStyle w:val="Standard"/>
                        <w:widowControl w:val="0"/>
                        <w:tabs>
                          <w:tab w:val="center" w:pos="4536"/>
                          <w:tab w:val="right" w:pos="9072"/>
                          <w:tab w:val="right" w:pos="9639"/>
                        </w:tabs>
                        <w:jc w:val="center"/>
                      </w:pPr>
                      <w:r>
                        <w:rPr>
                          <w:rFonts w:eastAsia="Lucida Sans Unicode" w:cs="Tahoma"/>
                          <w:b/>
                          <w:szCs w:val="16"/>
                          <w:lang w:eastAsia="pl-PL"/>
                        </w:rPr>
                        <w:t>N</w:t>
                      </w:r>
                      <w:r>
                        <w:rPr>
                          <w:b/>
                        </w:rPr>
                        <w:t>r rej. ARB.6740.</w:t>
                      </w:r>
                      <w:r w:rsidR="00AD3A51">
                        <w:rPr>
                          <w:b/>
                        </w:rPr>
                        <w:t>1060</w:t>
                      </w:r>
                      <w:r>
                        <w:rPr>
                          <w:b/>
                        </w:rPr>
                        <w:t>.202</w:t>
                      </w:r>
                      <w:r w:rsidR="00AD3A51">
                        <w:rPr>
                          <w:b/>
                        </w:rPr>
                        <w:t>2</w:t>
                      </w:r>
                      <w:r>
                        <w:rPr>
                          <w:b/>
                        </w:rPr>
                        <w:t>. PK</w:t>
                      </w:r>
                    </w:p>
                    <w:p w:rsidR="00703777" w:rsidRDefault="00703777">
                      <w:pPr>
                        <w:pStyle w:val="Standard"/>
                        <w:widowControl w:val="0"/>
                        <w:tabs>
                          <w:tab w:val="center" w:pos="4536"/>
                          <w:tab w:val="right" w:pos="9072"/>
                          <w:tab w:val="right" w:pos="9639"/>
                        </w:tabs>
                        <w:rPr>
                          <w:rFonts w:eastAsia="Lucida Sans Unicode" w:cs="Tahoma"/>
                          <w:b/>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txbxContent>
                </v:textbox>
                <w10:wrap anchorx="margin" anchory="margin"/>
              </v:shape>
            </w:pict>
          </mc:Fallback>
        </mc:AlternateContent>
      </w:r>
      <w:r w:rsidR="003E5E1D">
        <w:t xml:space="preserve">  </w:t>
      </w:r>
    </w:p>
    <w:p w:rsidR="00703777" w:rsidRDefault="00703777">
      <w:pPr>
        <w:pStyle w:val="Standard"/>
        <w:tabs>
          <w:tab w:val="left" w:pos="6645"/>
        </w:tabs>
        <w:jc w:val="right"/>
        <w:rPr>
          <w:lang w:eastAsia="pl-PL"/>
        </w:rPr>
      </w:pPr>
    </w:p>
    <w:p w:rsidR="00703777" w:rsidRDefault="003E5E1D">
      <w:pPr>
        <w:pStyle w:val="Standard"/>
        <w:tabs>
          <w:tab w:val="left" w:pos="6645"/>
        </w:tabs>
        <w:jc w:val="right"/>
      </w:pPr>
      <w:r>
        <w:t>Piaseczno,</w:t>
      </w:r>
      <w:r w:rsidR="008D73B3">
        <w:t xml:space="preserve"> 4 </w:t>
      </w:r>
      <w:r w:rsidR="00AD3A51">
        <w:t>października 2022</w:t>
      </w:r>
      <w:r>
        <w:rPr>
          <w:color w:val="000000"/>
        </w:rPr>
        <w:t xml:space="preserve"> r.</w:t>
      </w:r>
    </w:p>
    <w:p w:rsidR="00703777" w:rsidRDefault="00703777">
      <w:pPr>
        <w:pStyle w:val="Standard"/>
      </w:pPr>
    </w:p>
    <w:p w:rsidR="00703777" w:rsidRDefault="003E5E1D">
      <w:pPr>
        <w:pStyle w:val="Standard"/>
        <w:tabs>
          <w:tab w:val="left" w:pos="2340"/>
          <w:tab w:val="left" w:pos="4500"/>
        </w:tabs>
        <w:ind w:right="5137"/>
        <w:jc w:val="center"/>
      </w:pPr>
      <w:r>
        <w:t xml:space="preserve"> </w:t>
      </w:r>
    </w:p>
    <w:p w:rsidR="00703777" w:rsidRDefault="00703777">
      <w:pPr>
        <w:pStyle w:val="Standard"/>
        <w:tabs>
          <w:tab w:val="left" w:pos="2340"/>
          <w:tab w:val="left" w:pos="4500"/>
        </w:tabs>
        <w:ind w:right="5137"/>
        <w:jc w:val="center"/>
      </w:pPr>
    </w:p>
    <w:p w:rsidR="00703777" w:rsidRPr="00E91964" w:rsidRDefault="003E5E1D" w:rsidP="00E91964">
      <w:pPr>
        <w:pStyle w:val="Standard"/>
        <w:tabs>
          <w:tab w:val="left" w:pos="2340"/>
          <w:tab w:val="left" w:pos="4500"/>
        </w:tabs>
        <w:ind w:right="5137"/>
        <w:jc w:val="center"/>
      </w:pPr>
      <w:r>
        <w:t xml:space="preserve">         </w:t>
      </w:r>
      <w:r>
        <w:tab/>
        <w:t xml:space="preserve">            </w:t>
      </w:r>
    </w:p>
    <w:p w:rsidR="00703777" w:rsidRDefault="003E5E1D">
      <w:pPr>
        <w:pStyle w:val="Standard"/>
        <w:tabs>
          <w:tab w:val="left" w:pos="4095"/>
        </w:tabs>
        <w:jc w:val="center"/>
      </w:pPr>
      <w:r>
        <w:rPr>
          <w:b/>
          <w:bCs/>
          <w:sz w:val="32"/>
          <w:szCs w:val="32"/>
        </w:rPr>
        <w:t xml:space="preserve">DECYZJA  NR   </w:t>
      </w:r>
      <w:r w:rsidR="00AD3A51">
        <w:rPr>
          <w:b/>
          <w:bCs/>
          <w:sz w:val="32"/>
          <w:szCs w:val="32"/>
        </w:rPr>
        <w:t xml:space="preserve"> </w:t>
      </w:r>
      <w:r w:rsidR="008D73B3">
        <w:rPr>
          <w:b/>
          <w:bCs/>
          <w:sz w:val="32"/>
          <w:szCs w:val="32"/>
        </w:rPr>
        <w:t>1560</w:t>
      </w:r>
      <w:r w:rsidR="00AD3A51">
        <w:rPr>
          <w:b/>
          <w:bCs/>
          <w:sz w:val="32"/>
          <w:szCs w:val="32"/>
        </w:rPr>
        <w:t xml:space="preserve"> </w:t>
      </w:r>
      <w:r>
        <w:rPr>
          <w:b/>
          <w:bCs/>
          <w:sz w:val="32"/>
          <w:szCs w:val="32"/>
        </w:rPr>
        <w:t>/ 202</w:t>
      </w:r>
      <w:r w:rsidR="00AD3A51">
        <w:rPr>
          <w:b/>
          <w:bCs/>
          <w:sz w:val="32"/>
          <w:szCs w:val="32"/>
        </w:rPr>
        <w:t>2</w:t>
      </w:r>
    </w:p>
    <w:p w:rsidR="00703777" w:rsidRDefault="00703777">
      <w:pPr>
        <w:pStyle w:val="Standard"/>
        <w:tabs>
          <w:tab w:val="left" w:pos="4095"/>
        </w:tabs>
        <w:jc w:val="center"/>
        <w:rPr>
          <w:bCs/>
          <w:sz w:val="28"/>
          <w:szCs w:val="28"/>
        </w:rPr>
      </w:pPr>
    </w:p>
    <w:p w:rsidR="00AD3A51" w:rsidRPr="00DB5743" w:rsidRDefault="00AD3A51" w:rsidP="00AD3A51">
      <w:pPr>
        <w:pStyle w:val="Standard"/>
        <w:ind w:firstLine="709"/>
        <w:jc w:val="both"/>
      </w:pPr>
      <w:r>
        <w:t xml:space="preserve">Na podstawie art. 28, art. 33 ust. 1, art. 34 ust. 4 i art. 36, art. 71, w związku z art. 82   ust. 2 ustawy z dnia 7 lipca 1994 r. Prawo budowlane (t.j. Dz. U. z 2021 r., poz. 2351 ze zm.) czytaj dalej ustawy - Prawo budowlane oraz na podstawie art. 104 ustawy z dnia 14 czerwca 1960 r. Kodeks postępowania administracyjnego </w:t>
      </w:r>
      <w:r>
        <w:rPr>
          <w:kern w:val="0"/>
        </w:rPr>
        <w:t>(t.j. Dz. U. z  202</w:t>
      </w:r>
      <w:r w:rsidR="00F07EB8">
        <w:rPr>
          <w:kern w:val="0"/>
        </w:rPr>
        <w:t>2</w:t>
      </w:r>
      <w:r>
        <w:rPr>
          <w:kern w:val="0"/>
        </w:rPr>
        <w:t xml:space="preserve"> r., poz.</w:t>
      </w:r>
      <w:r w:rsidR="00F07EB8">
        <w:rPr>
          <w:kern w:val="0"/>
        </w:rPr>
        <w:t>2000</w:t>
      </w:r>
      <w:r>
        <w:rPr>
          <w:kern w:val="0"/>
        </w:rPr>
        <w:t xml:space="preserve">), </w:t>
      </w:r>
      <w:r>
        <w:t>czytaj dalej k.p.a.,</w:t>
      </w:r>
    </w:p>
    <w:p w:rsidR="00AD3A51" w:rsidRPr="00203E75" w:rsidRDefault="00AD3A51" w:rsidP="00AD3A51">
      <w:pPr>
        <w:pStyle w:val="Standard"/>
        <w:ind w:left="1260" w:hanging="1260"/>
        <w:jc w:val="both"/>
      </w:pPr>
      <w:r w:rsidRPr="00203E75">
        <w:rPr>
          <w:b/>
        </w:rPr>
        <w:t>po rozpatrzeniu:</w:t>
      </w:r>
      <w:r w:rsidRPr="00203E75">
        <w:t xml:space="preserve"> wniosku o pozwolenie na budowę z dnia</w:t>
      </w:r>
      <w:r>
        <w:t xml:space="preserve"> 1 sierpnia 2022</w:t>
      </w:r>
      <w:r w:rsidRPr="00203E75">
        <w:t xml:space="preserve"> r.,</w:t>
      </w:r>
    </w:p>
    <w:p w:rsidR="00703777" w:rsidRDefault="00703777">
      <w:pPr>
        <w:pStyle w:val="Standard"/>
        <w:jc w:val="both"/>
        <w:rPr>
          <w:b/>
          <w:color w:val="FF0000"/>
        </w:rPr>
      </w:pPr>
    </w:p>
    <w:p w:rsidR="00703777" w:rsidRDefault="003E5E1D">
      <w:pPr>
        <w:pStyle w:val="Standard"/>
        <w:jc w:val="center"/>
        <w:rPr>
          <w:b/>
          <w:u w:val="single"/>
        </w:rPr>
      </w:pPr>
      <w:r>
        <w:rPr>
          <w:b/>
          <w:u w:val="single"/>
        </w:rPr>
        <w:t xml:space="preserve">zatwierdzam </w:t>
      </w:r>
    </w:p>
    <w:p w:rsidR="00703777" w:rsidRDefault="003E5E1D">
      <w:pPr>
        <w:pStyle w:val="Standard"/>
        <w:jc w:val="center"/>
        <w:rPr>
          <w:b/>
          <w:u w:val="single"/>
        </w:rPr>
      </w:pPr>
      <w:r>
        <w:rPr>
          <w:b/>
          <w:u w:val="single"/>
        </w:rPr>
        <w:t xml:space="preserve">projekt zagospodarowania terenu </w:t>
      </w:r>
    </w:p>
    <w:p w:rsidR="00703777" w:rsidRDefault="003E5E1D">
      <w:pPr>
        <w:pStyle w:val="Standard"/>
        <w:jc w:val="center"/>
        <w:rPr>
          <w:b/>
          <w:u w:val="single"/>
        </w:rPr>
      </w:pPr>
      <w:r>
        <w:rPr>
          <w:b/>
          <w:u w:val="single"/>
        </w:rPr>
        <w:t>i projekt architektoniczno-budowlany</w:t>
      </w:r>
    </w:p>
    <w:p w:rsidR="00703777" w:rsidRDefault="003E5E1D">
      <w:pPr>
        <w:pStyle w:val="Standard"/>
        <w:jc w:val="center"/>
        <w:rPr>
          <w:b/>
          <w:u w:val="single"/>
        </w:rPr>
      </w:pPr>
      <w:r>
        <w:rPr>
          <w:b/>
          <w:u w:val="single"/>
        </w:rPr>
        <w:t xml:space="preserve">oraz udzielam pozwolenia na budowę </w:t>
      </w:r>
    </w:p>
    <w:p w:rsidR="00703777" w:rsidRDefault="00703777">
      <w:pPr>
        <w:pStyle w:val="Standard"/>
        <w:jc w:val="both"/>
      </w:pPr>
    </w:p>
    <w:p w:rsidR="0043505C" w:rsidRDefault="0043505C" w:rsidP="0043505C">
      <w:pPr>
        <w:pStyle w:val="Standard"/>
        <w:ind w:left="1400" w:hanging="1400"/>
      </w:pPr>
      <w:r>
        <w:rPr>
          <w:b/>
        </w:rPr>
        <w:t>dla:</w:t>
      </w:r>
      <w:r>
        <w:t xml:space="preserve">   RM Logistyka 3 Sp. z o.o.</w:t>
      </w:r>
    </w:p>
    <w:p w:rsidR="0043505C" w:rsidRDefault="0043505C" w:rsidP="0043505C">
      <w:pPr>
        <w:widowControl/>
        <w:ind w:left="1400" w:hanging="1400"/>
      </w:pPr>
      <w:r>
        <w:t xml:space="preserve">         ul. Franciszka Klimczaka 1, 02-797 Warszawa</w:t>
      </w:r>
    </w:p>
    <w:p w:rsidR="0043505C" w:rsidRDefault="0043505C" w:rsidP="0043505C">
      <w:pPr>
        <w:widowControl/>
        <w:ind w:left="1400" w:hanging="1400"/>
      </w:pPr>
    </w:p>
    <w:p w:rsidR="0043505C" w:rsidRDefault="0043505C" w:rsidP="0043505C">
      <w:pPr>
        <w:pStyle w:val="Standard"/>
        <w:ind w:left="1418" w:hanging="1474"/>
        <w:jc w:val="both"/>
      </w:pPr>
      <w:r>
        <w:rPr>
          <w:b/>
          <w:bCs/>
        </w:rPr>
        <w:t xml:space="preserve">obejmujące:  </w:t>
      </w:r>
      <w:r>
        <w:t>budowa parku magazynowo-produkcyjnego Łubna, w tym: hali magazynowo-produkcyjnej H1 z częścią socjalno-biurową B1, hali magazynowo-produkcyjnej H4 z częścią socjalno-biurową B3, portierni, pompowni, zbiornika wody pożarowej wraz z fundamentem, murów oporowych, układu komunikacji wewnętrznej wraz z parkingami, instalacji elektroenergetycznych, instalacji kanalizacji kablowej, instalacji wodno-kanalizacyjnej, instalacji wody p.poż., instalacji gazowej, instalacji kanalizacji deszczowej,</w:t>
      </w:r>
    </w:p>
    <w:p w:rsidR="0043505C" w:rsidRDefault="0043505C" w:rsidP="0043505C">
      <w:pPr>
        <w:pStyle w:val="Standard"/>
        <w:ind w:left="1418" w:hanging="1474"/>
        <w:jc w:val="both"/>
        <w:rPr>
          <w:sz w:val="12"/>
          <w:szCs w:val="12"/>
        </w:rPr>
      </w:pPr>
    </w:p>
    <w:p w:rsidR="0043505C" w:rsidRDefault="0043505C" w:rsidP="0043505C">
      <w:pPr>
        <w:widowControl/>
        <w:ind w:left="1260" w:hanging="1260"/>
        <w:jc w:val="both"/>
        <w:rPr>
          <w:rFonts w:ascii="Times New Roman" w:eastAsia="Times New Roman" w:hAnsi="Times New Roman" w:cs="Times New Roman"/>
          <w:b/>
          <w:color w:val="000000"/>
          <w:lang w:bidi="ar-SA"/>
        </w:rPr>
      </w:pPr>
    </w:p>
    <w:p w:rsidR="0043505C" w:rsidRDefault="0043505C" w:rsidP="0043505C">
      <w:pPr>
        <w:widowControl/>
        <w:ind w:left="1260" w:hanging="1260"/>
        <w:jc w:val="both"/>
        <w:rPr>
          <w:rFonts w:ascii="Times New Roman" w:eastAsia="Times New Roman" w:hAnsi="Times New Roman" w:cs="Times New Roman"/>
          <w:b/>
          <w:color w:val="000000"/>
          <w:lang w:bidi="ar-SA"/>
        </w:rPr>
      </w:pPr>
    </w:p>
    <w:p w:rsidR="0043505C" w:rsidRDefault="0043505C" w:rsidP="0043505C">
      <w:pPr>
        <w:widowControl/>
        <w:ind w:left="1260" w:hanging="1260"/>
        <w:jc w:val="both"/>
        <w:rPr>
          <w:rFonts w:ascii="Times New Roman" w:eastAsia="Times New Roman" w:hAnsi="Times New Roman" w:cs="Times New Roman"/>
          <w:b/>
          <w:color w:val="000000"/>
          <w:lang w:bidi="ar-SA"/>
        </w:rPr>
      </w:pPr>
      <w:r w:rsidRPr="00C66A26">
        <w:rPr>
          <w:rFonts w:ascii="Times New Roman" w:eastAsia="Times New Roman" w:hAnsi="Times New Roman" w:cs="Times New Roman"/>
          <w:b/>
          <w:color w:val="000000"/>
          <w:lang w:bidi="ar-SA"/>
        </w:rPr>
        <w:t>parametry budynku</w:t>
      </w:r>
      <w:r w:rsidR="00C66A26" w:rsidRPr="00C66A26">
        <w:rPr>
          <w:rFonts w:ascii="Times New Roman" w:eastAsia="Times New Roman" w:hAnsi="Times New Roman" w:cs="Times New Roman"/>
          <w:b/>
          <w:color w:val="000000"/>
          <w:lang w:bidi="ar-SA"/>
        </w:rPr>
        <w:t xml:space="preserve"> magazynowo-produkcyjnego H1 z częścią socjalono-biurową B1:</w:t>
      </w:r>
    </w:p>
    <w:p w:rsidR="00C66A26" w:rsidRPr="0093116B" w:rsidRDefault="00C66A26" w:rsidP="00C66A26">
      <w:pPr>
        <w:widowControl/>
        <w:jc w:val="both"/>
      </w:pPr>
      <w:r w:rsidRPr="0093116B">
        <w:rPr>
          <w:rFonts w:ascii="Times New Roman" w:eastAsia="Times New Roman" w:hAnsi="Times New Roman" w:cs="Times New Roman"/>
          <w:lang w:bidi="ar-SA"/>
        </w:rPr>
        <w:t xml:space="preserve">powierzchnia zabudowy:    </w:t>
      </w:r>
      <w:r>
        <w:rPr>
          <w:rFonts w:ascii="Times New Roman" w:eastAsia="Times New Roman" w:hAnsi="Times New Roman" w:cs="Times New Roman"/>
          <w:lang w:bidi="ar-SA"/>
        </w:rPr>
        <w:t xml:space="preserve">       10220,78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r w:rsidRPr="0093116B">
        <w:rPr>
          <w:rFonts w:ascii="Times New Roman" w:eastAsia="Times New Roman" w:hAnsi="Times New Roman" w:cs="Times New Roman"/>
          <w:lang w:bidi="ar-SA"/>
        </w:rPr>
        <w:t xml:space="preserve">                                                                                               </w:t>
      </w:r>
    </w:p>
    <w:p w:rsidR="00C66A26" w:rsidRPr="008B5DFD" w:rsidRDefault="00C66A26" w:rsidP="00C66A26">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 xml:space="preserve">powierzchnia użytkowa:  </w:t>
      </w:r>
      <w:r>
        <w:rPr>
          <w:rFonts w:ascii="Times New Roman" w:eastAsia="Times New Roman" w:hAnsi="Times New Roman" w:cs="Times New Roman"/>
          <w:lang w:bidi="ar-SA"/>
        </w:rPr>
        <w:t xml:space="preserve">            9989,43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p>
    <w:p w:rsidR="00C66A26" w:rsidRPr="0093116B" w:rsidRDefault="00C66A26" w:rsidP="00C66A26">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kubatura</w:t>
      </w:r>
      <w:r>
        <w:rPr>
          <w:rFonts w:ascii="Times New Roman" w:eastAsia="Times New Roman" w:hAnsi="Times New Roman" w:cs="Times New Roman"/>
          <w:lang w:bidi="ar-SA"/>
        </w:rPr>
        <w:t xml:space="preserve"> brutto</w:t>
      </w:r>
      <w:r w:rsidRPr="0093116B">
        <w:rPr>
          <w:rFonts w:ascii="Times New Roman" w:eastAsia="Times New Roman" w:hAnsi="Times New Roman" w:cs="Times New Roman"/>
          <w:lang w:bidi="ar-SA"/>
        </w:rPr>
        <w:t>:</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 xml:space="preserve">            </w:t>
      </w:r>
      <w:r>
        <w:rPr>
          <w:rFonts w:ascii="Times New Roman" w:eastAsia="Times New Roman" w:hAnsi="Times New Roman" w:cs="Times New Roman"/>
          <w:lang w:bidi="ar-SA"/>
        </w:rPr>
        <w:t xml:space="preserve">123486,46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3</w:t>
      </w:r>
      <w:r w:rsidRPr="0093116B">
        <w:rPr>
          <w:rFonts w:ascii="Times New Roman" w:eastAsia="Times New Roman" w:hAnsi="Times New Roman" w:cs="Times New Roman"/>
          <w:lang w:bidi="ar-SA"/>
        </w:rPr>
        <w:t xml:space="preserve">   </w:t>
      </w:r>
    </w:p>
    <w:p w:rsidR="00E91964" w:rsidRDefault="00E91964" w:rsidP="00E91964">
      <w:pPr>
        <w:widowControl/>
        <w:jc w:val="both"/>
        <w:rPr>
          <w:rFonts w:ascii="Times New Roman" w:eastAsia="Times New Roman" w:hAnsi="Times New Roman" w:cs="Times New Roman"/>
          <w:b/>
          <w:color w:val="000000"/>
          <w:lang w:bidi="ar-SA"/>
        </w:rPr>
      </w:pPr>
    </w:p>
    <w:p w:rsidR="00E91964" w:rsidRDefault="00E91964" w:rsidP="00E91964">
      <w:pPr>
        <w:widowControl/>
        <w:jc w:val="both"/>
        <w:rPr>
          <w:rFonts w:ascii="Times New Roman" w:eastAsia="Times New Roman" w:hAnsi="Times New Roman" w:cs="Times New Roman"/>
          <w:b/>
          <w:color w:val="000000"/>
          <w:lang w:bidi="ar-SA"/>
        </w:rPr>
      </w:pPr>
      <w:r w:rsidRPr="00C66A26">
        <w:rPr>
          <w:rFonts w:ascii="Times New Roman" w:eastAsia="Times New Roman" w:hAnsi="Times New Roman" w:cs="Times New Roman"/>
          <w:b/>
          <w:color w:val="000000"/>
          <w:lang w:bidi="ar-SA"/>
        </w:rPr>
        <w:t>parametry budynku magazynowo-produkcyjnego H</w:t>
      </w:r>
      <w:r>
        <w:rPr>
          <w:rFonts w:ascii="Times New Roman" w:eastAsia="Times New Roman" w:hAnsi="Times New Roman" w:cs="Times New Roman"/>
          <w:b/>
          <w:color w:val="000000"/>
          <w:lang w:bidi="ar-SA"/>
        </w:rPr>
        <w:t>4</w:t>
      </w:r>
      <w:r w:rsidRPr="00C66A26">
        <w:rPr>
          <w:rFonts w:ascii="Times New Roman" w:eastAsia="Times New Roman" w:hAnsi="Times New Roman" w:cs="Times New Roman"/>
          <w:b/>
          <w:color w:val="000000"/>
          <w:lang w:bidi="ar-SA"/>
        </w:rPr>
        <w:t xml:space="preserve"> z częścią socjalono-biurową B</w:t>
      </w:r>
      <w:r>
        <w:rPr>
          <w:rFonts w:ascii="Times New Roman" w:eastAsia="Times New Roman" w:hAnsi="Times New Roman" w:cs="Times New Roman"/>
          <w:b/>
          <w:color w:val="000000"/>
          <w:lang w:bidi="ar-SA"/>
        </w:rPr>
        <w:t>3</w:t>
      </w:r>
      <w:r w:rsidRPr="00C66A26">
        <w:rPr>
          <w:rFonts w:ascii="Times New Roman" w:eastAsia="Times New Roman" w:hAnsi="Times New Roman" w:cs="Times New Roman"/>
          <w:b/>
          <w:color w:val="000000"/>
          <w:lang w:bidi="ar-SA"/>
        </w:rPr>
        <w:t>:</w:t>
      </w:r>
    </w:p>
    <w:p w:rsidR="00E91964" w:rsidRPr="0093116B" w:rsidRDefault="00E91964" w:rsidP="00E91964">
      <w:pPr>
        <w:widowControl/>
        <w:jc w:val="both"/>
      </w:pPr>
      <w:r w:rsidRPr="0093116B">
        <w:rPr>
          <w:rFonts w:ascii="Times New Roman" w:eastAsia="Times New Roman" w:hAnsi="Times New Roman" w:cs="Times New Roman"/>
          <w:lang w:bidi="ar-SA"/>
        </w:rPr>
        <w:t xml:space="preserve">powierzchnia zabudowy:    </w:t>
      </w:r>
      <w:r>
        <w:rPr>
          <w:rFonts w:ascii="Times New Roman" w:eastAsia="Times New Roman" w:hAnsi="Times New Roman" w:cs="Times New Roman"/>
          <w:lang w:bidi="ar-SA"/>
        </w:rPr>
        <w:t xml:space="preserve">         6139,07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r w:rsidRPr="0093116B">
        <w:rPr>
          <w:rFonts w:ascii="Times New Roman" w:eastAsia="Times New Roman" w:hAnsi="Times New Roman" w:cs="Times New Roman"/>
          <w:lang w:bidi="ar-SA"/>
        </w:rPr>
        <w:t xml:space="preserve">                                                                                               </w:t>
      </w:r>
    </w:p>
    <w:p w:rsidR="00E91964" w:rsidRPr="008B5DFD" w:rsidRDefault="00E91964" w:rsidP="00E91964">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 xml:space="preserve">powierzchnia użytkowa:  </w:t>
      </w:r>
      <w:r>
        <w:rPr>
          <w:rFonts w:ascii="Times New Roman" w:eastAsia="Times New Roman" w:hAnsi="Times New Roman" w:cs="Times New Roman"/>
          <w:lang w:bidi="ar-SA"/>
        </w:rPr>
        <w:t xml:space="preserve">            6221,94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p>
    <w:p w:rsidR="00E91964" w:rsidRPr="0093116B" w:rsidRDefault="00E91964" w:rsidP="00E91964">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kubatura</w:t>
      </w:r>
      <w:r>
        <w:rPr>
          <w:rFonts w:ascii="Times New Roman" w:eastAsia="Times New Roman" w:hAnsi="Times New Roman" w:cs="Times New Roman"/>
          <w:lang w:bidi="ar-SA"/>
        </w:rPr>
        <w:t xml:space="preserve"> brutto</w:t>
      </w:r>
      <w:r w:rsidRPr="0093116B">
        <w:rPr>
          <w:rFonts w:ascii="Times New Roman" w:eastAsia="Times New Roman" w:hAnsi="Times New Roman" w:cs="Times New Roman"/>
          <w:lang w:bidi="ar-SA"/>
        </w:rPr>
        <w:t>:</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 xml:space="preserve">            </w:t>
      </w:r>
      <w:r>
        <w:rPr>
          <w:rFonts w:ascii="Times New Roman" w:eastAsia="Times New Roman" w:hAnsi="Times New Roman" w:cs="Times New Roman"/>
          <w:lang w:bidi="ar-SA"/>
        </w:rPr>
        <w:t xml:space="preserve">  74573,30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3</w:t>
      </w:r>
      <w:r w:rsidRPr="0093116B">
        <w:rPr>
          <w:rFonts w:ascii="Times New Roman" w:eastAsia="Times New Roman" w:hAnsi="Times New Roman" w:cs="Times New Roman"/>
          <w:lang w:bidi="ar-SA"/>
        </w:rPr>
        <w:t xml:space="preserve">   </w:t>
      </w:r>
    </w:p>
    <w:p w:rsidR="00C66A26" w:rsidRDefault="00C66A26" w:rsidP="0043505C">
      <w:pPr>
        <w:widowControl/>
        <w:ind w:left="1260" w:hanging="1260"/>
        <w:jc w:val="both"/>
        <w:rPr>
          <w:rFonts w:ascii="Times New Roman" w:eastAsia="Times New Roman" w:hAnsi="Times New Roman" w:cs="Times New Roman"/>
          <w:b/>
          <w:color w:val="000000"/>
          <w:lang w:bidi="ar-SA"/>
        </w:rPr>
      </w:pPr>
    </w:p>
    <w:p w:rsidR="00E91964" w:rsidRDefault="00E91964" w:rsidP="0043505C">
      <w:pPr>
        <w:widowControl/>
        <w:ind w:left="1260" w:hanging="1260"/>
        <w:jc w:val="both"/>
        <w:rPr>
          <w:rFonts w:ascii="Times New Roman" w:eastAsia="Times New Roman" w:hAnsi="Times New Roman" w:cs="Times New Roman"/>
          <w:b/>
          <w:color w:val="000000"/>
          <w:lang w:bidi="ar-SA"/>
        </w:rPr>
      </w:pPr>
      <w:r>
        <w:rPr>
          <w:rFonts w:ascii="Times New Roman" w:eastAsia="Times New Roman" w:hAnsi="Times New Roman" w:cs="Times New Roman"/>
          <w:b/>
          <w:color w:val="000000"/>
          <w:lang w:bidi="ar-SA"/>
        </w:rPr>
        <w:t>parametry</w:t>
      </w:r>
      <w:r w:rsidR="00212336">
        <w:rPr>
          <w:rFonts w:ascii="Times New Roman" w:eastAsia="Times New Roman" w:hAnsi="Times New Roman" w:cs="Times New Roman"/>
          <w:b/>
          <w:color w:val="000000"/>
          <w:lang w:bidi="ar-SA"/>
        </w:rPr>
        <w:t xml:space="preserve"> budynku</w:t>
      </w:r>
      <w:r>
        <w:rPr>
          <w:rFonts w:ascii="Times New Roman" w:eastAsia="Times New Roman" w:hAnsi="Times New Roman" w:cs="Times New Roman"/>
          <w:b/>
          <w:color w:val="000000"/>
          <w:lang w:bidi="ar-SA"/>
        </w:rPr>
        <w:t xml:space="preserve"> portierni:</w:t>
      </w:r>
    </w:p>
    <w:p w:rsidR="00E91964" w:rsidRPr="0093116B" w:rsidRDefault="00E91964" w:rsidP="00E91964">
      <w:pPr>
        <w:widowControl/>
        <w:jc w:val="both"/>
      </w:pPr>
      <w:r w:rsidRPr="0093116B">
        <w:rPr>
          <w:rFonts w:ascii="Times New Roman" w:eastAsia="Times New Roman" w:hAnsi="Times New Roman" w:cs="Times New Roman"/>
          <w:lang w:bidi="ar-SA"/>
        </w:rPr>
        <w:t xml:space="preserve">powierzchnia zabudowy:    </w:t>
      </w:r>
      <w:r>
        <w:rPr>
          <w:rFonts w:ascii="Times New Roman" w:eastAsia="Times New Roman" w:hAnsi="Times New Roman" w:cs="Times New Roman"/>
          <w:lang w:bidi="ar-SA"/>
        </w:rPr>
        <w:t xml:space="preserve">              </w:t>
      </w:r>
      <w:r w:rsidR="00F042AC">
        <w:rPr>
          <w:rFonts w:ascii="Times New Roman" w:eastAsia="Times New Roman" w:hAnsi="Times New Roman" w:cs="Times New Roman"/>
          <w:lang w:bidi="ar-SA"/>
        </w:rPr>
        <w:t xml:space="preserve">32,51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r w:rsidRPr="0093116B">
        <w:rPr>
          <w:rFonts w:ascii="Times New Roman" w:eastAsia="Times New Roman" w:hAnsi="Times New Roman" w:cs="Times New Roman"/>
          <w:lang w:bidi="ar-SA"/>
        </w:rPr>
        <w:t xml:space="preserve">                                                                                               </w:t>
      </w:r>
    </w:p>
    <w:p w:rsidR="00E91964" w:rsidRPr="008B5DFD" w:rsidRDefault="00E91964" w:rsidP="00E91964">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 xml:space="preserve">powierzchnia użytkowa:  </w:t>
      </w:r>
      <w:r>
        <w:rPr>
          <w:rFonts w:ascii="Times New Roman" w:eastAsia="Times New Roman" w:hAnsi="Times New Roman" w:cs="Times New Roman"/>
          <w:lang w:bidi="ar-SA"/>
        </w:rPr>
        <w:t xml:space="preserve">                 </w:t>
      </w:r>
      <w:r w:rsidR="00F042AC">
        <w:rPr>
          <w:rFonts w:ascii="Times New Roman" w:eastAsia="Times New Roman" w:hAnsi="Times New Roman" w:cs="Times New Roman"/>
          <w:lang w:bidi="ar-SA"/>
        </w:rPr>
        <w:t>29,70</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2</w:t>
      </w:r>
    </w:p>
    <w:p w:rsidR="00E91964" w:rsidRDefault="00E91964" w:rsidP="00E91964">
      <w:pPr>
        <w:widowControl/>
        <w:jc w:val="both"/>
        <w:rPr>
          <w:rFonts w:ascii="Times New Roman" w:eastAsia="Times New Roman" w:hAnsi="Times New Roman" w:cs="Times New Roman"/>
          <w:lang w:bidi="ar-SA"/>
        </w:rPr>
      </w:pPr>
      <w:r w:rsidRPr="0093116B">
        <w:rPr>
          <w:rFonts w:ascii="Times New Roman" w:eastAsia="Times New Roman" w:hAnsi="Times New Roman" w:cs="Times New Roman"/>
          <w:lang w:bidi="ar-SA"/>
        </w:rPr>
        <w:t>kubatura</w:t>
      </w:r>
      <w:r>
        <w:rPr>
          <w:rFonts w:ascii="Times New Roman" w:eastAsia="Times New Roman" w:hAnsi="Times New Roman" w:cs="Times New Roman"/>
          <w:lang w:bidi="ar-SA"/>
        </w:rPr>
        <w:t xml:space="preserve"> brutto</w:t>
      </w:r>
      <w:r w:rsidRPr="0093116B">
        <w:rPr>
          <w:rFonts w:ascii="Times New Roman" w:eastAsia="Times New Roman" w:hAnsi="Times New Roman" w:cs="Times New Roman"/>
          <w:lang w:bidi="ar-SA"/>
        </w:rPr>
        <w:t>:</w:t>
      </w:r>
      <w:r>
        <w:rPr>
          <w:rFonts w:ascii="Times New Roman" w:eastAsia="Times New Roman" w:hAnsi="Times New Roman" w:cs="Times New Roman"/>
          <w:lang w:bidi="ar-SA"/>
        </w:rPr>
        <w:t xml:space="preserve">           </w:t>
      </w:r>
      <w:r w:rsidRPr="0093116B">
        <w:rPr>
          <w:rFonts w:ascii="Times New Roman" w:eastAsia="Times New Roman" w:hAnsi="Times New Roman" w:cs="Times New Roman"/>
          <w:lang w:bidi="ar-SA"/>
        </w:rPr>
        <w:t xml:space="preserve">            </w:t>
      </w:r>
      <w:r>
        <w:rPr>
          <w:rFonts w:ascii="Times New Roman" w:eastAsia="Times New Roman" w:hAnsi="Times New Roman" w:cs="Times New Roman"/>
          <w:lang w:bidi="ar-SA"/>
        </w:rPr>
        <w:t xml:space="preserve">       105,98 </w:t>
      </w:r>
      <w:r w:rsidRPr="0093116B">
        <w:rPr>
          <w:rFonts w:ascii="Times New Roman" w:eastAsia="Times New Roman" w:hAnsi="Times New Roman" w:cs="Times New Roman"/>
          <w:lang w:bidi="ar-SA"/>
        </w:rPr>
        <w:t>m</w:t>
      </w:r>
      <w:r w:rsidRPr="0093116B">
        <w:rPr>
          <w:rFonts w:ascii="Times New Roman" w:eastAsia="Times New Roman" w:hAnsi="Times New Roman" w:cs="Times New Roman"/>
          <w:vertAlign w:val="superscript"/>
          <w:lang w:bidi="ar-SA"/>
        </w:rPr>
        <w:t>3</w:t>
      </w:r>
      <w:r w:rsidRPr="0093116B">
        <w:rPr>
          <w:rFonts w:ascii="Times New Roman" w:eastAsia="Times New Roman" w:hAnsi="Times New Roman" w:cs="Times New Roman"/>
          <w:lang w:bidi="ar-SA"/>
        </w:rPr>
        <w:t xml:space="preserve">   </w:t>
      </w:r>
    </w:p>
    <w:p w:rsidR="00F042AC" w:rsidRPr="00F042AC" w:rsidRDefault="00F042AC" w:rsidP="00F042AC">
      <w:pPr>
        <w:widowControl/>
        <w:jc w:val="both"/>
        <w:rPr>
          <w:rFonts w:ascii="Times New Roman" w:eastAsia="Times New Roman" w:hAnsi="Times New Roman" w:cs="Times New Roman"/>
          <w:b/>
          <w:color w:val="000000"/>
          <w:lang w:bidi="ar-SA"/>
        </w:rPr>
      </w:pPr>
      <w:r w:rsidRPr="00F042AC">
        <w:rPr>
          <w:rFonts w:ascii="Times New Roman" w:eastAsia="Times New Roman" w:hAnsi="Times New Roman" w:cs="Times New Roman"/>
          <w:b/>
          <w:color w:val="000000"/>
          <w:lang w:bidi="ar-SA"/>
        </w:rPr>
        <w:lastRenderedPageBreak/>
        <w:t>parametry budynku po</w:t>
      </w:r>
      <w:r>
        <w:rPr>
          <w:rFonts w:ascii="Times New Roman" w:eastAsia="Times New Roman" w:hAnsi="Times New Roman" w:cs="Times New Roman"/>
          <w:b/>
          <w:color w:val="000000"/>
          <w:lang w:bidi="ar-SA"/>
        </w:rPr>
        <w:t>mpowni</w:t>
      </w:r>
      <w:r w:rsidRPr="00F042AC">
        <w:rPr>
          <w:rFonts w:ascii="Times New Roman" w:eastAsia="Times New Roman" w:hAnsi="Times New Roman" w:cs="Times New Roman"/>
          <w:b/>
          <w:color w:val="000000"/>
          <w:lang w:bidi="ar-SA"/>
        </w:rPr>
        <w:t>:</w:t>
      </w:r>
    </w:p>
    <w:p w:rsidR="00F042AC" w:rsidRPr="00F042AC" w:rsidRDefault="00F042AC" w:rsidP="00F042AC">
      <w:pPr>
        <w:widowControl/>
        <w:jc w:val="both"/>
        <w:rPr>
          <w:rFonts w:ascii="Times New Roman" w:eastAsia="Times New Roman" w:hAnsi="Times New Roman" w:cs="Times New Roman"/>
          <w:bCs/>
          <w:lang w:bidi="ar-SA"/>
        </w:rPr>
      </w:pPr>
      <w:r w:rsidRPr="00F042AC">
        <w:rPr>
          <w:rFonts w:ascii="Times New Roman" w:eastAsia="Times New Roman" w:hAnsi="Times New Roman" w:cs="Times New Roman"/>
          <w:bCs/>
          <w:lang w:bidi="ar-SA"/>
        </w:rPr>
        <w:t xml:space="preserve">powierzchnia zabudowy:                  </w:t>
      </w:r>
      <w:r>
        <w:rPr>
          <w:rFonts w:ascii="Times New Roman" w:eastAsia="Times New Roman" w:hAnsi="Times New Roman" w:cs="Times New Roman"/>
          <w:bCs/>
          <w:lang w:bidi="ar-SA"/>
        </w:rPr>
        <w:t xml:space="preserve">76,80 </w:t>
      </w:r>
      <w:r w:rsidRPr="00F042AC">
        <w:rPr>
          <w:rFonts w:ascii="Times New Roman" w:eastAsia="Times New Roman" w:hAnsi="Times New Roman" w:cs="Times New Roman"/>
          <w:bCs/>
          <w:lang w:bidi="ar-SA"/>
        </w:rPr>
        <w:t>m</w:t>
      </w:r>
      <w:r>
        <w:rPr>
          <w:rFonts w:ascii="Times New Roman" w:eastAsia="Times New Roman" w:hAnsi="Times New Roman" w:cs="Times New Roman"/>
          <w:bCs/>
          <w:vertAlign w:val="superscript"/>
          <w:lang w:bidi="ar-SA"/>
        </w:rPr>
        <w:t>2</w:t>
      </w:r>
      <w:r w:rsidRPr="00F042AC">
        <w:rPr>
          <w:rFonts w:ascii="Times New Roman" w:eastAsia="Times New Roman" w:hAnsi="Times New Roman" w:cs="Times New Roman"/>
          <w:bCs/>
          <w:lang w:bidi="ar-SA"/>
        </w:rPr>
        <w:t xml:space="preserve">                                                                                               </w:t>
      </w:r>
    </w:p>
    <w:p w:rsidR="00F042AC" w:rsidRPr="00F042AC" w:rsidRDefault="00F042AC" w:rsidP="00F042AC">
      <w:pPr>
        <w:widowControl/>
        <w:jc w:val="both"/>
        <w:rPr>
          <w:rFonts w:ascii="Times New Roman" w:eastAsia="Times New Roman" w:hAnsi="Times New Roman" w:cs="Times New Roman"/>
          <w:bCs/>
          <w:lang w:bidi="ar-SA"/>
        </w:rPr>
      </w:pPr>
      <w:r w:rsidRPr="00F042AC">
        <w:rPr>
          <w:rFonts w:ascii="Times New Roman" w:eastAsia="Times New Roman" w:hAnsi="Times New Roman" w:cs="Times New Roman"/>
          <w:bCs/>
          <w:lang w:bidi="ar-SA"/>
        </w:rPr>
        <w:t>powierzchnia użytkowa:                   63,73 m</w:t>
      </w:r>
      <w:r>
        <w:rPr>
          <w:rFonts w:ascii="Times New Roman" w:eastAsia="Times New Roman" w:hAnsi="Times New Roman" w:cs="Times New Roman"/>
          <w:bCs/>
          <w:vertAlign w:val="superscript"/>
          <w:lang w:bidi="ar-SA"/>
        </w:rPr>
        <w:t>2</w:t>
      </w:r>
    </w:p>
    <w:p w:rsidR="00F042AC" w:rsidRPr="00F042AC" w:rsidRDefault="00F042AC" w:rsidP="00F042AC">
      <w:pPr>
        <w:widowControl/>
        <w:jc w:val="both"/>
        <w:rPr>
          <w:rFonts w:ascii="Times New Roman" w:eastAsia="Times New Roman" w:hAnsi="Times New Roman" w:cs="Times New Roman"/>
          <w:bCs/>
          <w:lang w:bidi="ar-SA"/>
        </w:rPr>
      </w:pPr>
      <w:r w:rsidRPr="00F042AC">
        <w:rPr>
          <w:rFonts w:ascii="Times New Roman" w:eastAsia="Times New Roman" w:hAnsi="Times New Roman" w:cs="Times New Roman"/>
          <w:bCs/>
          <w:lang w:bidi="ar-SA"/>
        </w:rPr>
        <w:t xml:space="preserve">kubatura brutto:                              </w:t>
      </w:r>
      <w:r>
        <w:rPr>
          <w:rFonts w:ascii="Times New Roman" w:eastAsia="Times New Roman" w:hAnsi="Times New Roman" w:cs="Times New Roman"/>
          <w:bCs/>
          <w:lang w:bidi="ar-SA"/>
        </w:rPr>
        <w:t xml:space="preserve"> 366,00 </w:t>
      </w:r>
      <w:r w:rsidRPr="00F042AC">
        <w:rPr>
          <w:rFonts w:ascii="Times New Roman" w:eastAsia="Times New Roman" w:hAnsi="Times New Roman" w:cs="Times New Roman"/>
          <w:bCs/>
          <w:lang w:bidi="ar-SA"/>
        </w:rPr>
        <w:t>m</w:t>
      </w:r>
      <w:r>
        <w:rPr>
          <w:rFonts w:ascii="Times New Roman" w:eastAsia="Times New Roman" w:hAnsi="Times New Roman" w:cs="Times New Roman"/>
          <w:bCs/>
          <w:vertAlign w:val="superscript"/>
          <w:lang w:bidi="ar-SA"/>
        </w:rPr>
        <w:t>3</w:t>
      </w:r>
      <w:r w:rsidRPr="00F042AC">
        <w:rPr>
          <w:rFonts w:ascii="Times New Roman" w:eastAsia="Times New Roman" w:hAnsi="Times New Roman" w:cs="Times New Roman"/>
          <w:bCs/>
          <w:lang w:bidi="ar-SA"/>
        </w:rPr>
        <w:t xml:space="preserve">   </w:t>
      </w:r>
    </w:p>
    <w:p w:rsidR="00F042AC" w:rsidRDefault="00F042AC" w:rsidP="00E91964">
      <w:pPr>
        <w:widowControl/>
        <w:jc w:val="both"/>
        <w:rPr>
          <w:rFonts w:ascii="Times New Roman" w:eastAsia="Times New Roman" w:hAnsi="Times New Roman" w:cs="Times New Roman"/>
          <w:b/>
          <w:color w:val="000000"/>
          <w:lang w:bidi="ar-SA"/>
        </w:rPr>
      </w:pPr>
    </w:p>
    <w:p w:rsidR="0043505C" w:rsidRPr="00E91964" w:rsidRDefault="0043505C" w:rsidP="00E91964">
      <w:pPr>
        <w:widowControl/>
        <w:jc w:val="both"/>
        <w:rPr>
          <w:rFonts w:ascii="Times New Roman" w:eastAsia="Times New Roman" w:hAnsi="Times New Roman" w:cs="Times New Roman"/>
          <w:lang w:bidi="ar-SA"/>
        </w:rPr>
      </w:pPr>
      <w:r>
        <w:rPr>
          <w:rFonts w:ascii="Times New Roman" w:eastAsia="Times New Roman" w:hAnsi="Times New Roman" w:cs="Times New Roman"/>
          <w:b/>
          <w:color w:val="000000"/>
          <w:lang w:bidi="ar-SA"/>
        </w:rPr>
        <w:t xml:space="preserve">adres zamierzenia budowlanego: </w:t>
      </w:r>
      <w:r>
        <w:rPr>
          <w:rFonts w:ascii="Times New Roman" w:eastAsia="Times New Roman" w:hAnsi="Times New Roman" w:cs="Times New Roman"/>
          <w:bCs/>
          <w:color w:val="000000"/>
          <w:lang w:bidi="ar-SA"/>
        </w:rPr>
        <w:t xml:space="preserve">działki 151/53, 151/13, 152/6, obręb 0026 Łubna, </w:t>
      </w:r>
    </w:p>
    <w:p w:rsidR="0043505C" w:rsidRDefault="0043505C" w:rsidP="0043505C">
      <w:pPr>
        <w:widowControl/>
        <w:ind w:left="1260" w:hanging="1260"/>
        <w:jc w:val="both"/>
        <w:rPr>
          <w:rFonts w:ascii="Times New Roman" w:eastAsia="Times New Roman" w:hAnsi="Times New Roman" w:cs="Times New Roman"/>
          <w:bCs/>
          <w:color w:val="000000"/>
          <w:lang w:bidi="ar-SA"/>
        </w:rPr>
      </w:pPr>
      <w:r>
        <w:rPr>
          <w:rFonts w:ascii="Times New Roman" w:eastAsia="Times New Roman" w:hAnsi="Times New Roman" w:cs="Times New Roman"/>
          <w:b/>
          <w:color w:val="000000"/>
          <w:lang w:bidi="ar-SA"/>
        </w:rPr>
        <w:t xml:space="preserve">                     </w:t>
      </w:r>
      <w:r>
        <w:rPr>
          <w:rFonts w:ascii="Times New Roman" w:eastAsia="Times New Roman" w:hAnsi="Times New Roman" w:cs="Times New Roman"/>
          <w:bCs/>
          <w:color w:val="000000"/>
          <w:lang w:bidi="ar-SA"/>
        </w:rPr>
        <w:t>w jednostce ew. 141801_5 Góra Kalwaria,</w:t>
      </w:r>
    </w:p>
    <w:p w:rsidR="0043505C" w:rsidRPr="00A31790" w:rsidRDefault="0043505C" w:rsidP="0043505C">
      <w:pPr>
        <w:pStyle w:val="Standard"/>
        <w:ind w:left="1560" w:hanging="1560"/>
        <w:jc w:val="both"/>
        <w:rPr>
          <w:color w:val="000000"/>
        </w:rPr>
      </w:pPr>
      <w:r w:rsidRPr="00A31790">
        <w:rPr>
          <w:color w:val="000000"/>
        </w:rPr>
        <w:t xml:space="preserve">                                     </w:t>
      </w:r>
    </w:p>
    <w:p w:rsidR="00AD3A51" w:rsidRPr="00464FA8" w:rsidRDefault="00AD3A51" w:rsidP="00AD3A51">
      <w:pPr>
        <w:widowControl/>
        <w:pBdr>
          <w:top w:val="none" w:sz="0" w:space="0" w:color="000000"/>
          <w:left w:val="none" w:sz="0" w:space="0" w:color="000000"/>
          <w:bottom w:val="none" w:sz="0" w:space="0" w:color="000000"/>
          <w:right w:val="none" w:sz="0" w:space="0" w:color="000000"/>
        </w:pBdr>
        <w:autoSpaceDN/>
        <w:ind w:left="1260" w:hanging="1260"/>
        <w:jc w:val="both"/>
        <w:rPr>
          <w:rFonts w:ascii="Times New Roman" w:eastAsia="Times New Roman" w:hAnsi="Times New Roman" w:cs="Times New Roman"/>
          <w:kern w:val="0"/>
          <w:lang w:bidi="ar-SA"/>
        </w:rPr>
      </w:pPr>
      <w:r w:rsidRPr="00464FA8">
        <w:rPr>
          <w:rFonts w:ascii="Times New Roman" w:eastAsia="Times New Roman" w:hAnsi="Times New Roman" w:cs="Times New Roman"/>
          <w:b/>
          <w:bCs/>
          <w:color w:val="000000"/>
          <w:kern w:val="0"/>
          <w:lang w:bidi="ar-SA"/>
        </w:rPr>
        <w:t xml:space="preserve">identyfikator działki: </w:t>
      </w:r>
      <w:bookmarkStart w:id="1" w:name="_Hlk114207925"/>
      <w:r w:rsidRPr="00464FA8">
        <w:rPr>
          <w:rFonts w:ascii="Times New Roman" w:eastAsia="Times New Roman" w:hAnsi="Times New Roman" w:cs="Times New Roman"/>
          <w:kern w:val="0"/>
          <w:lang w:bidi="ar-SA"/>
        </w:rPr>
        <w:t>14180</w:t>
      </w:r>
      <w:r w:rsidR="00F62F04">
        <w:rPr>
          <w:rFonts w:ascii="Times New Roman" w:eastAsia="Times New Roman" w:hAnsi="Times New Roman" w:cs="Times New Roman"/>
          <w:kern w:val="0"/>
          <w:lang w:bidi="ar-SA"/>
        </w:rPr>
        <w:t>1</w:t>
      </w:r>
      <w:r w:rsidRPr="00464FA8">
        <w:rPr>
          <w:rFonts w:ascii="Times New Roman" w:eastAsia="Times New Roman" w:hAnsi="Times New Roman" w:cs="Times New Roman"/>
          <w:kern w:val="0"/>
          <w:lang w:bidi="ar-SA"/>
        </w:rPr>
        <w:t>_</w:t>
      </w:r>
      <w:r>
        <w:rPr>
          <w:rFonts w:ascii="Times New Roman" w:eastAsia="Times New Roman" w:hAnsi="Times New Roman" w:cs="Times New Roman"/>
          <w:kern w:val="0"/>
          <w:lang w:bidi="ar-SA"/>
        </w:rPr>
        <w:t>5</w:t>
      </w:r>
      <w:r w:rsidRPr="00464FA8">
        <w:rPr>
          <w:rFonts w:ascii="Times New Roman" w:eastAsia="Times New Roman" w:hAnsi="Times New Roman" w:cs="Times New Roman"/>
          <w:kern w:val="0"/>
          <w:lang w:bidi="ar-SA"/>
        </w:rPr>
        <w:t>.00</w:t>
      </w:r>
      <w:r w:rsidR="00F62F04">
        <w:rPr>
          <w:rFonts w:ascii="Times New Roman" w:eastAsia="Times New Roman" w:hAnsi="Times New Roman" w:cs="Times New Roman"/>
          <w:kern w:val="0"/>
          <w:lang w:bidi="ar-SA"/>
        </w:rPr>
        <w:t>26</w:t>
      </w:r>
      <w:r w:rsidRPr="00464FA8">
        <w:rPr>
          <w:rFonts w:ascii="Times New Roman" w:eastAsia="Times New Roman" w:hAnsi="Times New Roman" w:cs="Times New Roman"/>
          <w:kern w:val="0"/>
          <w:lang w:bidi="ar-SA"/>
        </w:rPr>
        <w:t>.</w:t>
      </w:r>
      <w:r w:rsidR="00F62F04">
        <w:rPr>
          <w:rFonts w:ascii="Times New Roman" w:eastAsia="Times New Roman" w:hAnsi="Times New Roman" w:cs="Times New Roman"/>
          <w:kern w:val="0"/>
          <w:lang w:bidi="ar-SA"/>
        </w:rPr>
        <w:t>151/53</w:t>
      </w:r>
      <w:r w:rsidRPr="00464FA8">
        <w:rPr>
          <w:rFonts w:ascii="Times New Roman" w:eastAsia="Times New Roman" w:hAnsi="Times New Roman" w:cs="Times New Roman"/>
          <w:kern w:val="0"/>
          <w:lang w:bidi="ar-SA"/>
        </w:rPr>
        <w:t xml:space="preserve">, </w:t>
      </w:r>
      <w:bookmarkEnd w:id="1"/>
      <w:r w:rsidR="00F62F04" w:rsidRPr="00464FA8">
        <w:rPr>
          <w:rFonts w:ascii="Times New Roman" w:eastAsia="Times New Roman" w:hAnsi="Times New Roman" w:cs="Times New Roman"/>
          <w:kern w:val="0"/>
          <w:lang w:bidi="ar-SA"/>
        </w:rPr>
        <w:t>14180</w:t>
      </w:r>
      <w:r w:rsidR="00F62F04">
        <w:rPr>
          <w:rFonts w:ascii="Times New Roman" w:eastAsia="Times New Roman" w:hAnsi="Times New Roman" w:cs="Times New Roman"/>
          <w:kern w:val="0"/>
          <w:lang w:bidi="ar-SA"/>
        </w:rPr>
        <w:t>1</w:t>
      </w:r>
      <w:r w:rsidR="00F62F04" w:rsidRPr="00464FA8">
        <w:rPr>
          <w:rFonts w:ascii="Times New Roman" w:eastAsia="Times New Roman" w:hAnsi="Times New Roman" w:cs="Times New Roman"/>
          <w:kern w:val="0"/>
          <w:lang w:bidi="ar-SA"/>
        </w:rPr>
        <w:t>_</w:t>
      </w:r>
      <w:r w:rsidR="00F62F04">
        <w:rPr>
          <w:rFonts w:ascii="Times New Roman" w:eastAsia="Times New Roman" w:hAnsi="Times New Roman" w:cs="Times New Roman"/>
          <w:kern w:val="0"/>
          <w:lang w:bidi="ar-SA"/>
        </w:rPr>
        <w:t>5</w:t>
      </w:r>
      <w:r w:rsidR="00F62F04" w:rsidRPr="00464FA8">
        <w:rPr>
          <w:rFonts w:ascii="Times New Roman" w:eastAsia="Times New Roman" w:hAnsi="Times New Roman" w:cs="Times New Roman"/>
          <w:kern w:val="0"/>
          <w:lang w:bidi="ar-SA"/>
        </w:rPr>
        <w:t>.00</w:t>
      </w:r>
      <w:r w:rsidR="00F62F04">
        <w:rPr>
          <w:rFonts w:ascii="Times New Roman" w:eastAsia="Times New Roman" w:hAnsi="Times New Roman" w:cs="Times New Roman"/>
          <w:kern w:val="0"/>
          <w:lang w:bidi="ar-SA"/>
        </w:rPr>
        <w:t>26</w:t>
      </w:r>
      <w:r w:rsidR="00F62F04" w:rsidRPr="00464FA8">
        <w:rPr>
          <w:rFonts w:ascii="Times New Roman" w:eastAsia="Times New Roman" w:hAnsi="Times New Roman" w:cs="Times New Roman"/>
          <w:kern w:val="0"/>
          <w:lang w:bidi="ar-SA"/>
        </w:rPr>
        <w:t>.</w:t>
      </w:r>
      <w:r w:rsidR="00F62F04">
        <w:rPr>
          <w:rFonts w:ascii="Times New Roman" w:eastAsia="Times New Roman" w:hAnsi="Times New Roman" w:cs="Times New Roman"/>
          <w:kern w:val="0"/>
          <w:lang w:bidi="ar-SA"/>
        </w:rPr>
        <w:t>151/13</w:t>
      </w:r>
      <w:r w:rsidR="00F62F04" w:rsidRPr="00464FA8">
        <w:rPr>
          <w:rFonts w:ascii="Times New Roman" w:eastAsia="Times New Roman" w:hAnsi="Times New Roman" w:cs="Times New Roman"/>
          <w:kern w:val="0"/>
          <w:lang w:bidi="ar-SA"/>
        </w:rPr>
        <w:t>,</w:t>
      </w:r>
    </w:p>
    <w:p w:rsidR="00703777" w:rsidRDefault="00F62F04">
      <w:pPr>
        <w:widowControl/>
        <w:ind w:left="1260" w:hanging="1260"/>
        <w:jc w:val="both"/>
      </w:pPr>
      <w:r>
        <w:rPr>
          <w:rFonts w:ascii="Times New Roman" w:eastAsia="Times New Roman" w:hAnsi="Times New Roman" w:cs="Times New Roman"/>
          <w:kern w:val="0"/>
          <w:lang w:bidi="ar-SA"/>
        </w:rPr>
        <w:t xml:space="preserve">                                      </w:t>
      </w:r>
      <w:r w:rsidRPr="00464FA8">
        <w:rPr>
          <w:rFonts w:ascii="Times New Roman" w:eastAsia="Times New Roman" w:hAnsi="Times New Roman" w:cs="Times New Roman"/>
          <w:kern w:val="0"/>
          <w:lang w:bidi="ar-SA"/>
        </w:rPr>
        <w:t>14180</w:t>
      </w:r>
      <w:r>
        <w:rPr>
          <w:rFonts w:ascii="Times New Roman" w:eastAsia="Times New Roman" w:hAnsi="Times New Roman" w:cs="Times New Roman"/>
          <w:kern w:val="0"/>
          <w:lang w:bidi="ar-SA"/>
        </w:rPr>
        <w:t>1</w:t>
      </w:r>
      <w:r w:rsidRPr="00464FA8">
        <w:rPr>
          <w:rFonts w:ascii="Times New Roman" w:eastAsia="Times New Roman" w:hAnsi="Times New Roman" w:cs="Times New Roman"/>
          <w:kern w:val="0"/>
          <w:lang w:bidi="ar-SA"/>
        </w:rPr>
        <w:t>_</w:t>
      </w:r>
      <w:r>
        <w:rPr>
          <w:rFonts w:ascii="Times New Roman" w:eastAsia="Times New Roman" w:hAnsi="Times New Roman" w:cs="Times New Roman"/>
          <w:kern w:val="0"/>
          <w:lang w:bidi="ar-SA"/>
        </w:rPr>
        <w:t>5</w:t>
      </w:r>
      <w:r w:rsidRPr="00464FA8">
        <w:rPr>
          <w:rFonts w:ascii="Times New Roman" w:eastAsia="Times New Roman" w:hAnsi="Times New Roman" w:cs="Times New Roman"/>
          <w:kern w:val="0"/>
          <w:lang w:bidi="ar-SA"/>
        </w:rPr>
        <w:t>.00</w:t>
      </w:r>
      <w:r>
        <w:rPr>
          <w:rFonts w:ascii="Times New Roman" w:eastAsia="Times New Roman" w:hAnsi="Times New Roman" w:cs="Times New Roman"/>
          <w:kern w:val="0"/>
          <w:lang w:bidi="ar-SA"/>
        </w:rPr>
        <w:t>26</w:t>
      </w:r>
      <w:r w:rsidRPr="00464FA8">
        <w:rPr>
          <w:rFonts w:ascii="Times New Roman" w:eastAsia="Times New Roman" w:hAnsi="Times New Roman" w:cs="Times New Roman"/>
          <w:kern w:val="0"/>
          <w:lang w:bidi="ar-SA"/>
        </w:rPr>
        <w:t>.</w:t>
      </w:r>
      <w:r>
        <w:rPr>
          <w:rFonts w:ascii="Times New Roman" w:eastAsia="Times New Roman" w:hAnsi="Times New Roman" w:cs="Times New Roman"/>
          <w:kern w:val="0"/>
          <w:lang w:bidi="ar-SA"/>
        </w:rPr>
        <w:t>152/6</w:t>
      </w:r>
      <w:r w:rsidRPr="00464FA8">
        <w:rPr>
          <w:rFonts w:ascii="Times New Roman" w:eastAsia="Times New Roman" w:hAnsi="Times New Roman" w:cs="Times New Roman"/>
          <w:kern w:val="0"/>
          <w:lang w:bidi="ar-SA"/>
        </w:rPr>
        <w:t>,</w:t>
      </w:r>
    </w:p>
    <w:p w:rsidR="00F62F04" w:rsidRDefault="00F62F04">
      <w:pPr>
        <w:pStyle w:val="Standard"/>
        <w:ind w:left="1260" w:hanging="1260"/>
        <w:jc w:val="both"/>
        <w:rPr>
          <w:b/>
          <w:color w:val="000000"/>
        </w:rPr>
      </w:pPr>
    </w:p>
    <w:p w:rsidR="00703777" w:rsidRDefault="003E5E1D">
      <w:pPr>
        <w:pStyle w:val="Standard"/>
        <w:ind w:left="1260" w:hanging="1260"/>
        <w:jc w:val="both"/>
      </w:pPr>
      <w:r>
        <w:rPr>
          <w:b/>
          <w:color w:val="000000"/>
        </w:rPr>
        <w:t>kategorie obiektów:  X</w:t>
      </w:r>
      <w:r w:rsidR="00F62F04">
        <w:rPr>
          <w:b/>
          <w:color w:val="000000"/>
        </w:rPr>
        <w:t>VI</w:t>
      </w:r>
      <w:r>
        <w:rPr>
          <w:b/>
          <w:color w:val="000000"/>
        </w:rPr>
        <w:t>, VIII,</w:t>
      </w:r>
      <w:r w:rsidR="00F62F04">
        <w:rPr>
          <w:b/>
          <w:color w:val="000000"/>
        </w:rPr>
        <w:t xml:space="preserve"> XVIII, XXII,</w:t>
      </w:r>
    </w:p>
    <w:p w:rsidR="00703777" w:rsidRDefault="00703777">
      <w:pPr>
        <w:pStyle w:val="Standard"/>
        <w:ind w:left="1260" w:hanging="1260"/>
        <w:jc w:val="both"/>
      </w:pPr>
    </w:p>
    <w:p w:rsidR="00703777" w:rsidRDefault="003E5E1D">
      <w:pPr>
        <w:pStyle w:val="Standard"/>
        <w:jc w:val="both"/>
      </w:pPr>
      <w:r>
        <w:rPr>
          <w:b/>
        </w:rPr>
        <w:t>projektant:</w:t>
      </w:r>
    </w:p>
    <w:p w:rsidR="00703777" w:rsidRDefault="003E5E1D">
      <w:pPr>
        <w:widowControl/>
        <w:jc w:val="both"/>
      </w:pPr>
      <w:r>
        <w:rPr>
          <w:rFonts w:ascii="Times New Roman" w:hAnsi="Times New Roman" w:cs="Times New Roman"/>
          <w:b/>
          <w:bCs/>
          <w:color w:val="000000"/>
          <w:kern w:val="0"/>
        </w:rPr>
        <w:t xml:space="preserve">- mgr inż. arch. </w:t>
      </w:r>
      <w:r w:rsidR="00F62F04">
        <w:rPr>
          <w:rFonts w:ascii="Times New Roman" w:hAnsi="Times New Roman" w:cs="Times New Roman"/>
          <w:b/>
          <w:bCs/>
          <w:color w:val="000000"/>
          <w:kern w:val="0"/>
        </w:rPr>
        <w:t>Anna Płuciennik</w:t>
      </w:r>
      <w:r>
        <w:rPr>
          <w:rFonts w:ascii="Times New Roman" w:hAnsi="Times New Roman" w:cs="Times New Roman"/>
          <w:b/>
          <w:bCs/>
          <w:color w:val="000000"/>
          <w:kern w:val="0"/>
        </w:rPr>
        <w:t xml:space="preserve"> </w:t>
      </w:r>
      <w:r>
        <w:rPr>
          <w:rFonts w:ascii="Times New Roman" w:hAnsi="Times New Roman" w:cs="Times New Roman"/>
          <w:color w:val="000000"/>
          <w:kern w:val="0"/>
        </w:rPr>
        <w:t>posiadając</w:t>
      </w:r>
      <w:r w:rsidR="00F62F04">
        <w:rPr>
          <w:rFonts w:ascii="Times New Roman" w:hAnsi="Times New Roman" w:cs="Times New Roman"/>
          <w:color w:val="000000"/>
          <w:kern w:val="0"/>
        </w:rPr>
        <w:t>a</w:t>
      </w:r>
      <w:r>
        <w:rPr>
          <w:rFonts w:ascii="Times New Roman" w:hAnsi="Times New Roman" w:cs="Times New Roman"/>
          <w:color w:val="000000"/>
          <w:kern w:val="0"/>
        </w:rPr>
        <w:t xml:space="preserve"> uprawnienia budowlane nr ew. </w:t>
      </w:r>
      <w:r w:rsidR="00F62F04">
        <w:rPr>
          <w:rFonts w:ascii="Times New Roman" w:hAnsi="Times New Roman" w:cs="Times New Roman"/>
          <w:color w:val="000000"/>
          <w:kern w:val="0"/>
        </w:rPr>
        <w:t>25/WPOKK/2012</w:t>
      </w:r>
      <w:r>
        <w:rPr>
          <w:rFonts w:ascii="Times New Roman" w:hAnsi="Times New Roman" w:cs="Times New Roman"/>
          <w:color w:val="000000"/>
          <w:kern w:val="0"/>
        </w:rPr>
        <w:t xml:space="preserve"> w specjalności architektonicznej, członek </w:t>
      </w:r>
      <w:r w:rsidR="00F62F04">
        <w:rPr>
          <w:rFonts w:ascii="Times New Roman" w:hAnsi="Times New Roman" w:cs="Times New Roman"/>
          <w:color w:val="000000"/>
          <w:kern w:val="0"/>
        </w:rPr>
        <w:t>Wielkopolskiej</w:t>
      </w:r>
      <w:r>
        <w:rPr>
          <w:rFonts w:ascii="Times New Roman" w:hAnsi="Times New Roman" w:cs="Times New Roman"/>
          <w:color w:val="000000"/>
          <w:kern w:val="0"/>
        </w:rPr>
        <w:t xml:space="preserve"> Okręgowej Izby Architektów RP nr ew. </w:t>
      </w:r>
      <w:r w:rsidR="00F62F04">
        <w:rPr>
          <w:rFonts w:ascii="Times New Roman" w:hAnsi="Times New Roman" w:cs="Times New Roman"/>
          <w:color w:val="000000"/>
          <w:kern w:val="0"/>
        </w:rPr>
        <w:t>WP-0958</w:t>
      </w:r>
      <w:r>
        <w:rPr>
          <w:rFonts w:ascii="Times New Roman" w:hAnsi="Times New Roman" w:cs="Times New Roman"/>
          <w:color w:val="000000"/>
          <w:kern w:val="0"/>
        </w:rPr>
        <w:t xml:space="preserve"> – branża architektoniczna,</w:t>
      </w:r>
    </w:p>
    <w:p w:rsidR="00703777" w:rsidRDefault="003E5E1D">
      <w:pPr>
        <w:widowControl/>
        <w:snapToGrid w:val="0"/>
        <w:jc w:val="both"/>
        <w:textAlignment w:val="auto"/>
      </w:pPr>
      <w:r>
        <w:rPr>
          <w:rFonts w:ascii="Times New Roman" w:eastAsia="Times New Roman" w:hAnsi="Times New Roman" w:cs="Times New Roman"/>
          <w:b/>
          <w:bCs/>
          <w:color w:val="000000"/>
          <w:kern w:val="0"/>
        </w:rPr>
        <w:t xml:space="preserve">- mgr inż. </w:t>
      </w:r>
      <w:r w:rsidR="00F62F04">
        <w:rPr>
          <w:rFonts w:ascii="Times New Roman" w:eastAsia="Times New Roman" w:hAnsi="Times New Roman" w:cs="Times New Roman"/>
          <w:b/>
          <w:bCs/>
          <w:color w:val="000000"/>
          <w:kern w:val="0"/>
        </w:rPr>
        <w:t>Krzysztof Krawczyk</w:t>
      </w:r>
      <w:r>
        <w:rPr>
          <w:rFonts w:ascii="Times New Roman" w:eastAsia="Times New Roman" w:hAnsi="Times New Roman" w:cs="Times New Roman"/>
          <w:b/>
          <w:bCs/>
          <w:kern w:val="0"/>
          <w:lang w:bidi="ar-SA"/>
        </w:rPr>
        <w:t xml:space="preserve"> </w:t>
      </w:r>
      <w:r>
        <w:rPr>
          <w:rFonts w:ascii="Times New Roman" w:eastAsia="Times New Roman" w:hAnsi="Times New Roman" w:cs="Times New Roman"/>
          <w:color w:val="000000"/>
          <w:kern w:val="0"/>
          <w:szCs w:val="20"/>
          <w:lang w:bidi="ar-SA"/>
        </w:rPr>
        <w:t xml:space="preserve">posiadający </w:t>
      </w:r>
      <w:r>
        <w:rPr>
          <w:rFonts w:ascii="Times New Roman" w:eastAsia="Times New Roman" w:hAnsi="Times New Roman" w:cs="Times New Roman"/>
          <w:bCs/>
          <w:color w:val="000000"/>
          <w:kern w:val="0"/>
          <w:szCs w:val="20"/>
          <w:lang w:bidi="ar-SA"/>
        </w:rPr>
        <w:t>uprawnienia budowlane nr ew</w:t>
      </w:r>
      <w:r>
        <w:rPr>
          <w:rFonts w:ascii="Times New Roman" w:eastAsia="Times New Roman" w:hAnsi="Times New Roman" w:cs="Times New Roman"/>
          <w:bCs/>
          <w:color w:val="000000"/>
          <w:kern w:val="0"/>
          <w:lang w:bidi="ar-SA"/>
        </w:rPr>
        <w:t xml:space="preserve">. </w:t>
      </w:r>
      <w:r w:rsidR="00F62F04">
        <w:rPr>
          <w:rFonts w:ascii="Times New Roman" w:eastAsia="Times New Roman" w:hAnsi="Times New Roman" w:cs="Times New Roman"/>
          <w:kern w:val="0"/>
          <w:lang w:bidi="ar-SA"/>
        </w:rPr>
        <w:t xml:space="preserve">WKP/0046/POOK/12 </w:t>
      </w:r>
      <w:r>
        <w:rPr>
          <w:rFonts w:ascii="Times New Roman" w:eastAsia="Times New Roman" w:hAnsi="Times New Roman" w:cs="Times New Roman"/>
          <w:bCs/>
          <w:color w:val="000000"/>
          <w:kern w:val="0"/>
          <w:szCs w:val="20"/>
          <w:lang w:bidi="ar-SA"/>
        </w:rPr>
        <w:t xml:space="preserve">w specjalności konstrukcyjno-budowlanej, </w:t>
      </w:r>
      <w:r>
        <w:rPr>
          <w:rFonts w:ascii="Times New Roman" w:eastAsia="Times New Roman" w:hAnsi="Times New Roman" w:cs="Times New Roman"/>
          <w:color w:val="000000"/>
          <w:kern w:val="0"/>
          <w:szCs w:val="20"/>
          <w:lang w:bidi="ar-SA"/>
        </w:rPr>
        <w:t>członek</w:t>
      </w:r>
      <w:r w:rsidR="00F62F04">
        <w:rPr>
          <w:rFonts w:ascii="Times New Roman" w:eastAsia="Times New Roman" w:hAnsi="Times New Roman" w:cs="Times New Roman"/>
          <w:color w:val="000000"/>
          <w:kern w:val="0"/>
          <w:szCs w:val="20"/>
          <w:lang w:bidi="ar-SA"/>
        </w:rPr>
        <w:t xml:space="preserve"> Wielkopolskiej </w:t>
      </w:r>
      <w:r>
        <w:rPr>
          <w:rFonts w:ascii="Times New Roman" w:eastAsia="Times New Roman" w:hAnsi="Times New Roman" w:cs="Times New Roman"/>
          <w:color w:val="000000"/>
          <w:kern w:val="0"/>
          <w:szCs w:val="20"/>
          <w:lang w:bidi="ar-SA"/>
        </w:rPr>
        <w:t xml:space="preserve">Okręgowej Izby Inżynierów Budownictwa nr ew. </w:t>
      </w:r>
      <w:r w:rsidR="00F62F04">
        <w:rPr>
          <w:rFonts w:ascii="Times New Roman" w:eastAsia="Times New Roman" w:hAnsi="Times New Roman" w:cs="Times New Roman"/>
          <w:color w:val="000000"/>
          <w:kern w:val="0"/>
          <w:szCs w:val="20"/>
          <w:lang w:bidi="ar-SA"/>
        </w:rPr>
        <w:t>WKP/BO/0269/12</w:t>
      </w:r>
      <w:r>
        <w:rPr>
          <w:rFonts w:ascii="Times New Roman" w:eastAsia="Times New Roman" w:hAnsi="Times New Roman" w:cs="Times New Roman"/>
          <w:color w:val="000000"/>
          <w:kern w:val="0"/>
          <w:szCs w:val="20"/>
          <w:lang w:bidi="ar-SA"/>
        </w:rPr>
        <w:t xml:space="preserve"> </w:t>
      </w:r>
      <w:r>
        <w:rPr>
          <w:rFonts w:ascii="Times New Roman" w:eastAsia="Times New Roman" w:hAnsi="Times New Roman" w:cs="Times New Roman"/>
          <w:color w:val="000000"/>
          <w:kern w:val="0"/>
        </w:rPr>
        <w:t xml:space="preserve">– branża </w:t>
      </w:r>
      <w:r>
        <w:rPr>
          <w:rFonts w:ascii="Times New Roman" w:eastAsia="Times New Roman" w:hAnsi="Times New Roman" w:cs="Times New Roman"/>
          <w:color w:val="000000"/>
          <w:kern w:val="0"/>
          <w:szCs w:val="20"/>
          <w:lang w:bidi="ar-SA"/>
        </w:rPr>
        <w:t>konstrukcyjna,</w:t>
      </w:r>
    </w:p>
    <w:p w:rsidR="00703777" w:rsidRDefault="003E5E1D">
      <w:pPr>
        <w:widowControl/>
        <w:jc w:val="both"/>
      </w:pPr>
      <w:r>
        <w:rPr>
          <w:rFonts w:ascii="Times New Roman" w:eastAsia="Times New Roman" w:hAnsi="Times New Roman" w:cs="Times New Roman"/>
          <w:b/>
          <w:lang w:bidi="ar-SA"/>
        </w:rPr>
        <w:t xml:space="preserve">- mgr inż. </w:t>
      </w:r>
      <w:r w:rsidR="00F62F04">
        <w:rPr>
          <w:rFonts w:ascii="Times New Roman" w:eastAsia="Times New Roman" w:hAnsi="Times New Roman" w:cs="Times New Roman"/>
          <w:b/>
          <w:lang w:bidi="ar-SA"/>
        </w:rPr>
        <w:t>Andrzej Piątkowski</w:t>
      </w:r>
      <w:r>
        <w:rPr>
          <w:rFonts w:ascii="Times New Roman" w:eastAsia="Times New Roman" w:hAnsi="Times New Roman" w:cs="Times New Roman"/>
          <w:lang w:bidi="ar-SA"/>
        </w:rPr>
        <w:t xml:space="preserve"> posiadający uprawnienia budowlane nr ew. </w:t>
      </w:r>
      <w:r w:rsidR="00F62F04">
        <w:rPr>
          <w:rFonts w:ascii="Times New Roman" w:eastAsia="Times New Roman" w:hAnsi="Times New Roman" w:cs="Times New Roman"/>
          <w:lang w:bidi="ar-SA"/>
        </w:rPr>
        <w:t>7131/173/P/2002</w:t>
      </w:r>
      <w:r>
        <w:rPr>
          <w:rFonts w:ascii="Times New Roman" w:eastAsia="Times New Roman" w:hAnsi="Times New Roman" w:cs="Times New Roman"/>
          <w:lang w:bidi="ar-SA"/>
        </w:rPr>
        <w:t xml:space="preserve">, w specjalności instalacyjnej w zakresie sieci, instalacji i urządzeń: wodociągowych i kanalizacyjnych, cieplnych, wentylacyjnych i gazowych, członek </w:t>
      </w:r>
      <w:r w:rsidR="00F62F04">
        <w:rPr>
          <w:rFonts w:ascii="Times New Roman" w:eastAsia="Times New Roman" w:hAnsi="Times New Roman" w:cs="Times New Roman"/>
          <w:lang w:bidi="ar-SA"/>
        </w:rPr>
        <w:t xml:space="preserve">Wielkopolskiej </w:t>
      </w:r>
      <w:r>
        <w:rPr>
          <w:rFonts w:ascii="Times New Roman" w:eastAsia="Times New Roman" w:hAnsi="Times New Roman" w:cs="Times New Roman"/>
          <w:lang w:bidi="ar-SA"/>
        </w:rPr>
        <w:t xml:space="preserve">Okręgowej Izby Inżynierów Budownictwa nr ew. </w:t>
      </w:r>
      <w:r w:rsidR="00F62F04">
        <w:rPr>
          <w:rFonts w:ascii="Times New Roman" w:eastAsia="Times New Roman" w:hAnsi="Times New Roman" w:cs="Times New Roman"/>
          <w:lang w:bidi="ar-SA"/>
        </w:rPr>
        <w:t>WKP</w:t>
      </w:r>
      <w:r>
        <w:rPr>
          <w:rFonts w:ascii="Times New Roman" w:eastAsia="Times New Roman" w:hAnsi="Times New Roman" w:cs="Times New Roman"/>
          <w:lang w:bidi="ar-SA"/>
        </w:rPr>
        <w:t>/IS/</w:t>
      </w:r>
      <w:r w:rsidR="00F62F04">
        <w:rPr>
          <w:rFonts w:ascii="Times New Roman" w:eastAsia="Times New Roman" w:hAnsi="Times New Roman" w:cs="Times New Roman"/>
          <w:lang w:bidi="ar-SA"/>
        </w:rPr>
        <w:t>0056</w:t>
      </w:r>
      <w:r>
        <w:rPr>
          <w:rFonts w:ascii="Times New Roman" w:eastAsia="Times New Roman" w:hAnsi="Times New Roman" w:cs="Times New Roman"/>
          <w:lang w:bidi="ar-SA"/>
        </w:rPr>
        <w:t>/0</w:t>
      </w:r>
      <w:r w:rsidR="00F62F04">
        <w:rPr>
          <w:rFonts w:ascii="Times New Roman" w:eastAsia="Times New Roman" w:hAnsi="Times New Roman" w:cs="Times New Roman"/>
          <w:lang w:bidi="ar-SA"/>
        </w:rPr>
        <w:t>3</w:t>
      </w:r>
      <w:r>
        <w:rPr>
          <w:rFonts w:ascii="Times New Roman" w:eastAsia="Times New Roman" w:hAnsi="Times New Roman" w:cs="Times New Roman"/>
          <w:lang w:bidi="ar-SA"/>
        </w:rPr>
        <w:t xml:space="preserve"> – branża sanitarna;</w:t>
      </w:r>
    </w:p>
    <w:p w:rsidR="00703777" w:rsidRDefault="003E5E1D">
      <w:pPr>
        <w:widowControl/>
        <w:jc w:val="both"/>
      </w:pPr>
      <w:r>
        <w:rPr>
          <w:rFonts w:ascii="Times New Roman" w:eastAsia="Times New Roman" w:hAnsi="Times New Roman" w:cs="Times New Roman"/>
          <w:b/>
          <w:lang w:bidi="ar-SA"/>
        </w:rPr>
        <w:t xml:space="preserve">- mgr inż. </w:t>
      </w:r>
      <w:r w:rsidR="00F62F04">
        <w:rPr>
          <w:rFonts w:ascii="Times New Roman" w:eastAsia="Times New Roman" w:hAnsi="Times New Roman" w:cs="Times New Roman"/>
          <w:b/>
          <w:lang w:bidi="ar-SA"/>
        </w:rPr>
        <w:t>Michał Kapka</w:t>
      </w:r>
      <w:r>
        <w:rPr>
          <w:rFonts w:ascii="Times New Roman" w:eastAsia="Times New Roman" w:hAnsi="Times New Roman" w:cs="Times New Roman"/>
          <w:lang w:bidi="ar-SA"/>
        </w:rPr>
        <w:t xml:space="preserve"> posiadający uprawnienia budowlane nr ew. </w:t>
      </w:r>
      <w:r w:rsidR="00F62F04">
        <w:rPr>
          <w:rFonts w:ascii="Times New Roman" w:eastAsia="Times New Roman" w:hAnsi="Times New Roman" w:cs="Times New Roman"/>
          <w:lang w:bidi="ar-SA"/>
        </w:rPr>
        <w:t>WKP/0169/POOE/12</w:t>
      </w:r>
      <w:r>
        <w:rPr>
          <w:rFonts w:ascii="Times New Roman" w:eastAsia="Times New Roman" w:hAnsi="Times New Roman" w:cs="Times New Roman"/>
          <w:lang w:bidi="ar-SA"/>
        </w:rPr>
        <w:t xml:space="preserve">, w specjalności instalacyjnej w zakresie sieci, instalacji i urządzeń elektrycznych i elektroenergetycznych, członek </w:t>
      </w:r>
      <w:r w:rsidR="00F62F04">
        <w:rPr>
          <w:rFonts w:ascii="Times New Roman" w:eastAsia="Times New Roman" w:hAnsi="Times New Roman" w:cs="Times New Roman"/>
          <w:lang w:bidi="ar-SA"/>
        </w:rPr>
        <w:t>Wielkopolskiej</w:t>
      </w:r>
      <w:r>
        <w:rPr>
          <w:rFonts w:ascii="Times New Roman" w:eastAsia="Times New Roman" w:hAnsi="Times New Roman" w:cs="Times New Roman"/>
          <w:lang w:bidi="ar-SA"/>
        </w:rPr>
        <w:t xml:space="preserve"> Okręgowej Izby Inżynierów Budownictwa nr ew. </w:t>
      </w:r>
      <w:r w:rsidR="00F62F04">
        <w:rPr>
          <w:rFonts w:ascii="Times New Roman" w:eastAsia="Times New Roman" w:hAnsi="Times New Roman" w:cs="Times New Roman"/>
          <w:lang w:bidi="ar-SA"/>
        </w:rPr>
        <w:t>WKP</w:t>
      </w:r>
      <w:r>
        <w:rPr>
          <w:rFonts w:ascii="Times New Roman" w:eastAsia="Times New Roman" w:hAnsi="Times New Roman" w:cs="Times New Roman"/>
          <w:lang w:bidi="ar-SA"/>
        </w:rPr>
        <w:t>/IE/</w:t>
      </w:r>
      <w:r w:rsidR="00F62F04">
        <w:rPr>
          <w:rFonts w:ascii="Times New Roman" w:eastAsia="Times New Roman" w:hAnsi="Times New Roman" w:cs="Times New Roman"/>
          <w:lang w:bidi="ar-SA"/>
        </w:rPr>
        <w:t>0278</w:t>
      </w:r>
      <w:r>
        <w:rPr>
          <w:rFonts w:ascii="Times New Roman" w:eastAsia="Times New Roman" w:hAnsi="Times New Roman" w:cs="Times New Roman"/>
          <w:lang w:bidi="ar-SA"/>
        </w:rPr>
        <w:t>/</w:t>
      </w:r>
      <w:r w:rsidR="00F62F04">
        <w:rPr>
          <w:rFonts w:ascii="Times New Roman" w:eastAsia="Times New Roman" w:hAnsi="Times New Roman" w:cs="Times New Roman"/>
          <w:lang w:bidi="ar-SA"/>
        </w:rPr>
        <w:t>12</w:t>
      </w:r>
      <w:r>
        <w:rPr>
          <w:rFonts w:ascii="Times New Roman" w:eastAsia="Times New Roman" w:hAnsi="Times New Roman" w:cs="Times New Roman"/>
          <w:lang w:bidi="ar-SA"/>
        </w:rPr>
        <w:t xml:space="preserve"> – branża elektryczna;</w:t>
      </w:r>
    </w:p>
    <w:p w:rsidR="00703777" w:rsidRDefault="003E5E1D">
      <w:pPr>
        <w:widowControl/>
        <w:jc w:val="both"/>
      </w:pPr>
      <w:r>
        <w:rPr>
          <w:rFonts w:ascii="Times New Roman" w:eastAsia="Times New Roman" w:hAnsi="Times New Roman" w:cs="Times New Roman"/>
          <w:b/>
          <w:lang w:bidi="ar-SA"/>
        </w:rPr>
        <w:t xml:space="preserve">- mgr inż. </w:t>
      </w:r>
      <w:r w:rsidR="0005419F">
        <w:rPr>
          <w:rFonts w:ascii="Times New Roman" w:eastAsia="Times New Roman" w:hAnsi="Times New Roman" w:cs="Times New Roman"/>
          <w:b/>
          <w:lang w:bidi="ar-SA"/>
        </w:rPr>
        <w:t>Marek Pancerz</w:t>
      </w:r>
      <w:r>
        <w:rPr>
          <w:rFonts w:ascii="Times New Roman" w:eastAsia="Times New Roman" w:hAnsi="Times New Roman" w:cs="Times New Roman"/>
          <w:b/>
          <w:lang w:bidi="ar-SA"/>
        </w:rPr>
        <w:t xml:space="preserve"> </w:t>
      </w:r>
      <w:r>
        <w:rPr>
          <w:rFonts w:ascii="Times New Roman" w:eastAsia="Times New Roman" w:hAnsi="Times New Roman" w:cs="Times New Roman"/>
          <w:lang w:bidi="ar-SA"/>
        </w:rPr>
        <w:t xml:space="preserve">posiadający uprawnienia budowlane nr ew. </w:t>
      </w:r>
      <w:r w:rsidR="0005419F">
        <w:rPr>
          <w:rFonts w:ascii="Times New Roman" w:eastAsia="Times New Roman" w:hAnsi="Times New Roman" w:cs="Times New Roman"/>
          <w:lang w:bidi="ar-SA"/>
        </w:rPr>
        <w:t>WKP/0126/PWOD/16</w:t>
      </w:r>
      <w:r>
        <w:rPr>
          <w:rFonts w:ascii="Times New Roman" w:eastAsia="Times New Roman" w:hAnsi="Times New Roman" w:cs="Times New Roman"/>
          <w:lang w:bidi="ar-SA"/>
        </w:rPr>
        <w:t xml:space="preserve">, w specjalności </w:t>
      </w:r>
      <w:r w:rsidR="0005419F">
        <w:rPr>
          <w:rFonts w:ascii="Times New Roman" w:eastAsia="Times New Roman" w:hAnsi="Times New Roman" w:cs="Times New Roman"/>
          <w:lang w:bidi="ar-SA"/>
        </w:rPr>
        <w:t>drogowej</w:t>
      </w:r>
      <w:r>
        <w:rPr>
          <w:rFonts w:ascii="Times New Roman" w:eastAsia="Times New Roman" w:hAnsi="Times New Roman" w:cs="Times New Roman"/>
          <w:lang w:bidi="ar-SA"/>
        </w:rPr>
        <w:t xml:space="preserve">, członek </w:t>
      </w:r>
      <w:r w:rsidR="0005419F">
        <w:rPr>
          <w:rFonts w:ascii="Times New Roman" w:eastAsia="Times New Roman" w:hAnsi="Times New Roman" w:cs="Times New Roman"/>
          <w:lang w:bidi="ar-SA"/>
        </w:rPr>
        <w:t>Wielkopolskiej</w:t>
      </w:r>
      <w:r>
        <w:rPr>
          <w:rFonts w:ascii="Times New Roman" w:eastAsia="Times New Roman" w:hAnsi="Times New Roman" w:cs="Times New Roman"/>
          <w:lang w:bidi="ar-SA"/>
        </w:rPr>
        <w:t xml:space="preserve"> Okręgowej Izby Inżynierów Budownictwa nr ew. </w:t>
      </w:r>
      <w:r w:rsidR="0005419F">
        <w:rPr>
          <w:rFonts w:ascii="Times New Roman" w:eastAsia="Times New Roman" w:hAnsi="Times New Roman" w:cs="Times New Roman"/>
          <w:lang w:bidi="ar-SA"/>
        </w:rPr>
        <w:t>WKP/BD/0034/14</w:t>
      </w:r>
      <w:r>
        <w:rPr>
          <w:rFonts w:ascii="Times New Roman" w:eastAsia="Times New Roman" w:hAnsi="Times New Roman" w:cs="Times New Roman"/>
          <w:lang w:bidi="ar-SA"/>
        </w:rPr>
        <w:t xml:space="preserve"> – branża </w:t>
      </w:r>
      <w:r w:rsidR="0005419F">
        <w:rPr>
          <w:rFonts w:ascii="Times New Roman" w:eastAsia="Times New Roman" w:hAnsi="Times New Roman" w:cs="Times New Roman"/>
          <w:lang w:bidi="ar-SA"/>
        </w:rPr>
        <w:t>drogowa</w:t>
      </w:r>
      <w:r>
        <w:rPr>
          <w:rFonts w:ascii="Times New Roman" w:eastAsia="Times New Roman" w:hAnsi="Times New Roman" w:cs="Times New Roman"/>
          <w:lang w:bidi="ar-SA"/>
        </w:rPr>
        <w:t>;</w:t>
      </w:r>
    </w:p>
    <w:p w:rsidR="00703777" w:rsidRDefault="00703777">
      <w:pPr>
        <w:pStyle w:val="Standard"/>
        <w:jc w:val="both"/>
      </w:pPr>
    </w:p>
    <w:p w:rsidR="00AD3A51" w:rsidRDefault="00AD3A51" w:rsidP="00AD3A51">
      <w:pPr>
        <w:pStyle w:val="Standard"/>
        <w:jc w:val="both"/>
      </w:pPr>
      <w:r>
        <w:t xml:space="preserve">Informuję, że ustawa – Prawo budowlane, zobowiązuje inwestora przed rozpoczęciem robót budowlanych: </w:t>
      </w:r>
    </w:p>
    <w:p w:rsidR="00AD3A51" w:rsidRDefault="00AD3A51" w:rsidP="00AD3A51">
      <w:pPr>
        <w:pStyle w:val="Standard"/>
        <w:numPr>
          <w:ilvl w:val="0"/>
          <w:numId w:val="24"/>
        </w:numPr>
        <w:ind w:left="0"/>
        <w:jc w:val="both"/>
      </w:pPr>
      <w:r>
        <w:t xml:space="preserve">zgodnie z art. 41 ust. 4, zawiadomić organ nadzoru budowlanego oraz projektanta sprawującego nadzór nad zgodnością realizacji budowy z projektem, o zamierzonym terminie rozpoczęcia robót budowlanych, dla których wymagane jest uzyskanie decyzji o pozwoleniu na budowę, </w:t>
      </w:r>
    </w:p>
    <w:p w:rsidR="00AD3A51" w:rsidRDefault="00AD3A51" w:rsidP="00AD3A51">
      <w:pPr>
        <w:pStyle w:val="Standard"/>
        <w:numPr>
          <w:ilvl w:val="0"/>
          <w:numId w:val="24"/>
        </w:numPr>
        <w:ind w:left="0"/>
        <w:jc w:val="both"/>
      </w:pPr>
      <w:r>
        <w:t xml:space="preserve">zgodnie z art.  42: </w:t>
      </w:r>
    </w:p>
    <w:p w:rsidR="00AD3A51" w:rsidRDefault="00AD3A51" w:rsidP="00AD3A51">
      <w:pPr>
        <w:pStyle w:val="Standard"/>
        <w:jc w:val="both"/>
      </w:pPr>
      <w:r>
        <w:t xml:space="preserve">1) zapewnić sporządzenie projektu technicznego, z zastrzeżeniem art. 34 ust. 3b, </w:t>
      </w:r>
    </w:p>
    <w:p w:rsidR="00AD3A51" w:rsidRDefault="00AD3A51" w:rsidP="00AD3A51">
      <w:pPr>
        <w:pStyle w:val="Standard"/>
        <w:jc w:val="both"/>
      </w:pPr>
      <w:r>
        <w:t xml:space="preserve">2) ustanowić kierownika budowy, </w:t>
      </w:r>
    </w:p>
    <w:p w:rsidR="00AD3A51" w:rsidRDefault="00AD3A51" w:rsidP="00AD3A51">
      <w:pPr>
        <w:pStyle w:val="Standard"/>
        <w:jc w:val="both"/>
      </w:pPr>
      <w:r>
        <w:t xml:space="preserve">3) ustanowić inspektora nadzoru inwestorskiego, w wypadku, gdy taki obowiązek wynika z niniejszej decyzji  </w:t>
      </w:r>
    </w:p>
    <w:p w:rsidR="00AD3A51" w:rsidRDefault="00AD3A51" w:rsidP="00AD3A51">
      <w:pPr>
        <w:pStyle w:val="Standard"/>
        <w:jc w:val="both"/>
      </w:pPr>
      <w:r>
        <w:t>4) przekazać kierownikowi budowy projekt budowlany, w tym projekt techniczny, o ile jest wymagany;</w:t>
      </w:r>
    </w:p>
    <w:p w:rsidR="00AD3A51" w:rsidRDefault="00AD3A51" w:rsidP="00AD3A51">
      <w:pPr>
        <w:pStyle w:val="Akapitzlist"/>
        <w:widowControl/>
        <w:numPr>
          <w:ilvl w:val="0"/>
          <w:numId w:val="25"/>
        </w:numPr>
        <w:suppressAutoHyphens w:val="0"/>
        <w:ind w:left="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zgodnie z art. 45 ust. 4: wystąpić do organu architektoniczno-budowlanego, w celu:</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1) ostemplowania przedłożonego dziennika budowy albo</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2) wydania i ostemplowania dziennika budowy.</w:t>
      </w:r>
    </w:p>
    <w:p w:rsidR="00AD3A51" w:rsidRPr="00360746" w:rsidRDefault="00AD3A51" w:rsidP="00AD3A51">
      <w:pPr>
        <w:widowControl/>
        <w:suppressAutoHyphens w:val="0"/>
        <w:textAlignment w:val="auto"/>
        <w:rPr>
          <w:rFonts w:ascii="Times New Roman" w:eastAsia="Times New Roman" w:hAnsi="Times New Roman" w:cs="Times New Roman"/>
          <w:kern w:val="0"/>
          <w:lang w:eastAsia="pl-PL" w:bidi="ar-SA"/>
        </w:rPr>
      </w:pPr>
    </w:p>
    <w:p w:rsidR="00AD3A51" w:rsidRDefault="00AD3A51" w:rsidP="00AD3A51">
      <w:pPr>
        <w:pStyle w:val="Standard"/>
        <w:jc w:val="both"/>
        <w:rPr>
          <w:b/>
        </w:rPr>
      </w:pPr>
      <w:r>
        <w:rPr>
          <w:b/>
        </w:rPr>
        <w:t xml:space="preserve">Zgodnie z art.  36.  Ustawy – Prawo budowlane, </w:t>
      </w:r>
    </w:p>
    <w:p w:rsidR="00AD3A51" w:rsidRDefault="00AD3A51" w:rsidP="00AD3A51">
      <w:pPr>
        <w:pStyle w:val="Standard"/>
        <w:numPr>
          <w:ilvl w:val="0"/>
          <w:numId w:val="26"/>
        </w:numPr>
        <w:jc w:val="both"/>
      </w:pPr>
      <w:r>
        <w:t>określam szczególne warunki zabezpieczenia terenu budowy i prowadzenia robót budowlanych:</w:t>
      </w:r>
    </w:p>
    <w:p w:rsidR="00AD3A51" w:rsidRDefault="00AD3A51" w:rsidP="00AD3A51">
      <w:pPr>
        <w:pStyle w:val="Standard"/>
        <w:numPr>
          <w:ilvl w:val="0"/>
          <w:numId w:val="27"/>
        </w:numPr>
        <w:ind w:left="0"/>
        <w:jc w:val="both"/>
      </w:pPr>
      <w:r>
        <w:t>zgodnie z art. 43 ust. 1 pkt 1 ustawy – Prawo budowlane, obiekty budowlane podlegają geodezyjnemu wyznaczeniu w terenie, a po wybudowaniu – geodezyjnej inwentaryzacji powykonawczej.</w:t>
      </w:r>
      <w:r>
        <w:rPr>
          <w:i/>
        </w:rPr>
        <w:t xml:space="preserve"> </w:t>
      </w:r>
    </w:p>
    <w:p w:rsidR="00AD3A51" w:rsidRDefault="00AD3A51" w:rsidP="00AD3A51">
      <w:pPr>
        <w:pStyle w:val="Akapitzlist"/>
        <w:numPr>
          <w:ilvl w:val="0"/>
          <w:numId w:val="27"/>
        </w:numPr>
        <w:ind w:left="0"/>
        <w:jc w:val="both"/>
      </w:pPr>
      <w:r>
        <w:t>zgodnie z art. 45 ust. 7 ustawy – Prawo budowlane, przed rozpoczęciem robót budowlanych należy dokonać w dzienniku budowy wpisu osób, które pełnią funkcje kierownika budowy i inspektora nadzoru inwestorskiego. Osoby te są obowiązane potwierdzić podpisem przyjęcie powierzonych im funkcji.</w:t>
      </w:r>
    </w:p>
    <w:p w:rsidR="00AD3A51" w:rsidRDefault="00AD3A51" w:rsidP="00AD3A51">
      <w:pPr>
        <w:pStyle w:val="Akapitzlist"/>
        <w:numPr>
          <w:ilvl w:val="0"/>
          <w:numId w:val="27"/>
        </w:numPr>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zgodnie z art. 45 a ustawy Prawo budowlane, przed rozpoczęciem budowy kierownik budowy jest obowiązany:</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1) zabezpieczyć teren budowy;</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2) potwierdzić wpisem w dzienniku budowy otrzymanie od inwestora zatwierdzonego projektu budowlanego oraz, o ile jest wymagany – projektu technicznego;</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3) umieścić na terenie budowy, w widocznym miejscu:</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a) tablicę informacyjną oraz</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rsidR="00AD3A51" w:rsidRDefault="00AD3A51" w:rsidP="00AD3A51">
      <w:pPr>
        <w:pStyle w:val="Akapitzlist"/>
        <w:numPr>
          <w:ilvl w:val="0"/>
          <w:numId w:val="27"/>
        </w:numPr>
        <w:ind w:left="0"/>
        <w:jc w:val="both"/>
      </w:pPr>
      <w:r>
        <w:rPr>
          <w:szCs w:val="24"/>
        </w:rPr>
        <w:t xml:space="preserve">zgodnie z art. 46 ustawy – Prawo budowlane, kierownik budowy (rozbiórki), jest obowiązany przez okres wykonywania robót budowlanych przechowywać dokumenty stanowiące podstawę ich wykonania, a także oświadczenie dotyczące </w:t>
      </w:r>
      <w:r>
        <w:rPr>
          <w:i/>
          <w:iCs/>
          <w:szCs w:val="24"/>
        </w:rPr>
        <w:t>wyrobów budowlanych</w:t>
      </w:r>
      <w:r>
        <w:rPr>
          <w:szCs w:val="24"/>
        </w:rPr>
        <w:t xml:space="preserve"> jednostkowo zastosowanych w obiekcie budowlanym, o których mowa w art. 10 ust. 1 ustawy z dnia 16 kwietnia 2004 r. o </w:t>
      </w:r>
      <w:r>
        <w:rPr>
          <w:i/>
          <w:iCs/>
          <w:szCs w:val="24"/>
        </w:rPr>
        <w:t>wyrobach budowlanych</w:t>
      </w:r>
      <w:r>
        <w:rPr>
          <w:szCs w:val="24"/>
        </w:rPr>
        <w:t>, oraz udostępniać te dokumenty przedstawicielom uprawnionych organów.</w:t>
      </w:r>
    </w:p>
    <w:p w:rsidR="00AD3A51" w:rsidRDefault="00AD3A51" w:rsidP="00AD3A51">
      <w:pPr>
        <w:pStyle w:val="Standard"/>
        <w:numPr>
          <w:ilvl w:val="0"/>
          <w:numId w:val="27"/>
        </w:numPr>
        <w:ind w:left="0"/>
        <w:jc w:val="both"/>
      </w:pPr>
      <w:r>
        <w:t xml:space="preserve">roboty budowlane wykonywane w miejscach kolizji lub zbliżeń budowanego obiektu z podziemnym uzbrojeniem terenu należy wykonywać ręcznie i ze szczególną ostrożnością pod nadzorem inspektorów właściwych służb. </w:t>
      </w:r>
    </w:p>
    <w:p w:rsidR="00415BE5" w:rsidRDefault="00AD3A51" w:rsidP="00AD3A51">
      <w:pPr>
        <w:pStyle w:val="Standard"/>
        <w:jc w:val="both"/>
      </w:pPr>
      <w:r>
        <w:t>Roboty należy realizować zgodnie z dokumentacją budowy, z zachowaniem warunków nałożonych przez uzyskane opinie, uzgodnienia i pozwolenia oraz w sposób zapewniający bezpieczeństwo ludzi i mienia, oraz ochronę środowiska,</w:t>
      </w:r>
    </w:p>
    <w:p w:rsidR="00415BE5" w:rsidRPr="00415BE5" w:rsidRDefault="00415BE5" w:rsidP="00415BE5">
      <w:pPr>
        <w:widowControl/>
        <w:pBdr>
          <w:top w:val="none" w:sz="0" w:space="0" w:color="000000"/>
          <w:left w:val="none" w:sz="0" w:space="0" w:color="000000"/>
          <w:bottom w:val="none" w:sz="0" w:space="0" w:color="000000"/>
          <w:right w:val="none" w:sz="0" w:space="0" w:color="000000"/>
        </w:pBdr>
        <w:autoSpaceDN/>
        <w:jc w:val="both"/>
        <w:rPr>
          <w:rFonts w:ascii="Times New Roman" w:eastAsia="Times New Roman" w:hAnsi="Times New Roman" w:cs="Times New Roman"/>
          <w:i/>
          <w:iCs/>
          <w:kern w:val="1"/>
          <w:lang w:bidi="ar-SA"/>
        </w:rPr>
      </w:pPr>
      <w:r w:rsidRPr="00415BE5">
        <w:rPr>
          <w:rFonts w:ascii="Times New Roman" w:eastAsia="Times New Roman" w:hAnsi="Times New Roman" w:cs="Times New Roman"/>
          <w:kern w:val="1"/>
          <w:lang w:bidi="ar-SA"/>
        </w:rPr>
        <w:t xml:space="preserve">Przed faktycznym  rozpoczęciem robót należy uzyskać ostateczną decyzję pozwolenia wodnoprawnego zgodnie z </w:t>
      </w:r>
      <w:r w:rsidRPr="00415BE5">
        <w:rPr>
          <w:rFonts w:ascii="Times New Roman" w:eastAsia="Times New Roman" w:hAnsi="Times New Roman" w:cs="Times New Roman"/>
          <w:kern w:val="0"/>
          <w:lang w:eastAsia="pl-PL" w:bidi="ar-SA"/>
        </w:rPr>
        <w:t>art.  389 ustawą z dnia 20 lipca 2017 r.  Prawo wodne (t.j. Dz.U. z 2021 r. poz. 2233 ze zm.), który stanowi, że „</w:t>
      </w:r>
      <w:r w:rsidRPr="00415BE5">
        <w:rPr>
          <w:rFonts w:ascii="Times New Roman" w:eastAsia="Times New Roman" w:hAnsi="Times New Roman" w:cs="Times New Roman"/>
          <w:i/>
          <w:iCs/>
          <w:kern w:val="0"/>
          <w:lang w:eastAsia="pl-PL" w:bidi="ar-SA"/>
        </w:rPr>
        <w:t>Jeżeli ustawa nie stanowi inaczej, pozwolenie wodnoprawne jest wymagane na:</w:t>
      </w:r>
    </w:p>
    <w:p w:rsidR="00415BE5" w:rsidRPr="00212336" w:rsidRDefault="00415BE5" w:rsidP="00212336">
      <w:pPr>
        <w:widowControl/>
        <w:pBdr>
          <w:top w:val="none" w:sz="0" w:space="0" w:color="000000"/>
          <w:left w:val="none" w:sz="0" w:space="0" w:color="000000"/>
          <w:bottom w:val="none" w:sz="0" w:space="0" w:color="000000"/>
          <w:right w:val="none" w:sz="0" w:space="0" w:color="000000"/>
        </w:pBdr>
        <w:suppressAutoHyphens w:val="0"/>
        <w:autoSpaceDN/>
        <w:textAlignment w:val="auto"/>
        <w:rPr>
          <w:i/>
          <w:iCs/>
          <w:kern w:val="1"/>
        </w:rPr>
      </w:pPr>
      <w:r w:rsidRPr="00415BE5">
        <w:rPr>
          <w:rFonts w:ascii="Times New Roman" w:eastAsia="Times New Roman" w:hAnsi="Times New Roman" w:cs="Times New Roman"/>
          <w:i/>
          <w:iCs/>
          <w:kern w:val="0"/>
          <w:lang w:eastAsia="pl-PL" w:bidi="ar-SA"/>
        </w:rPr>
        <w:t>1) usługi wodne</w:t>
      </w:r>
      <w:r w:rsidR="00212336">
        <w:rPr>
          <w:rFonts w:ascii="Times New Roman" w:eastAsia="Times New Roman" w:hAnsi="Times New Roman" w:cs="Times New Roman"/>
          <w:i/>
          <w:iCs/>
          <w:kern w:val="0"/>
          <w:lang w:eastAsia="pl-PL" w:bidi="ar-SA"/>
        </w:rPr>
        <w:t xml:space="preserve">;”, </w:t>
      </w:r>
      <w:r w:rsidRPr="00415BE5">
        <w:rPr>
          <w:rFonts w:ascii="Times New Roman" w:eastAsia="Times New Roman" w:hAnsi="Times New Roman" w:cs="Times New Roman"/>
          <w:kern w:val="0"/>
          <w:lang w:eastAsia="pl-PL" w:bidi="ar-SA"/>
        </w:rPr>
        <w:t xml:space="preserve">w związku z art.  </w:t>
      </w:r>
      <w:r w:rsidR="00212336">
        <w:rPr>
          <w:rFonts w:ascii="Times New Roman" w:eastAsia="Times New Roman" w:hAnsi="Times New Roman" w:cs="Times New Roman"/>
          <w:kern w:val="0"/>
          <w:lang w:eastAsia="pl-PL" w:bidi="ar-SA"/>
        </w:rPr>
        <w:t>35 ust. 3 pkt 8</w:t>
      </w:r>
      <w:r w:rsidRPr="00415BE5">
        <w:rPr>
          <w:rFonts w:ascii="Times New Roman" w:eastAsia="Times New Roman" w:hAnsi="Times New Roman" w:cs="Times New Roman"/>
          <w:kern w:val="0"/>
          <w:lang w:eastAsia="pl-PL" w:bidi="ar-SA"/>
        </w:rPr>
        <w:t xml:space="preserve"> ww. ustawy, który stanowi, że:         </w:t>
      </w:r>
      <w:r w:rsidRPr="00415BE5">
        <w:rPr>
          <w:rFonts w:ascii="Times New Roman" w:eastAsia="Times New Roman" w:hAnsi="Times New Roman" w:cs="Times New Roman"/>
          <w:i/>
          <w:iCs/>
          <w:kern w:val="0"/>
          <w:lang w:eastAsia="pl-PL" w:bidi="ar-SA"/>
        </w:rPr>
        <w:t>„</w:t>
      </w:r>
      <w:r w:rsidR="00212336">
        <w:rPr>
          <w:rFonts w:ascii="Times New Roman" w:eastAsia="Times New Roman" w:hAnsi="Times New Roman" w:cs="Times New Roman"/>
          <w:i/>
          <w:iCs/>
          <w:kern w:val="0"/>
          <w:lang w:eastAsia="pl-PL" w:bidi="ar-SA"/>
        </w:rPr>
        <w:t xml:space="preserve">Usługi wodne obejmują: </w:t>
      </w:r>
      <w:r w:rsidR="00212336" w:rsidRPr="00212336">
        <w:rPr>
          <w:rFonts w:ascii="Times New Roman" w:hAnsi="Times New Roman" w:cs="Times New Roman"/>
          <w:i/>
          <w:iCs/>
          <w:shd w:val="clear" w:color="auto" w:fill="FFFFFF"/>
        </w:rPr>
        <w:t>trwałe odwadnianie gruntów, obiektów lub wykopów budowlanych oraz zakładów górniczych, a także odprowadzanie do wód - wód pochodzących z odwodnienia gruntów w granicach administracyjnych miast</w:t>
      </w:r>
      <w:r w:rsidRPr="00415BE5">
        <w:rPr>
          <w:rFonts w:ascii="Times New Roman" w:eastAsia="Times New Roman" w:hAnsi="Times New Roman" w:cs="Times New Roman"/>
          <w:kern w:val="0"/>
          <w:lang w:eastAsia="pl-PL" w:bidi="ar-SA"/>
        </w:rPr>
        <w:t>”,</w:t>
      </w:r>
    </w:p>
    <w:p w:rsidR="00AD3A51" w:rsidRDefault="00AD3A51" w:rsidP="00AD3A51">
      <w:pPr>
        <w:pStyle w:val="Akapitzlist"/>
        <w:widowControl/>
        <w:numPr>
          <w:ilvl w:val="0"/>
          <w:numId w:val="28"/>
        </w:numPr>
        <w:ind w:left="0"/>
        <w:jc w:val="both"/>
        <w:textAlignment w:val="auto"/>
      </w:pPr>
      <w:r>
        <w:rPr>
          <w:rFonts w:ascii="Times New Roman" w:eastAsia="Times New Roman" w:hAnsi="Times New Roman" w:cs="Times New Roman"/>
          <w:kern w:val="0"/>
          <w:lang w:eastAsia="pl-PL" w:bidi="ar-SA"/>
        </w:rPr>
        <w:t>zgodnie z art.  75 ustawy z dnia 27 kwietnia 2001 r. Prawo ochrony środowiska, określam, że w trakcie prac budowlanych inwestor realizujący przedsięwzięcie jest obowiązany uwzględnić ochronę środowiska na obszarze prowadzenia prac, a w szczególności ochronę gleby, zieleni, naturalnego ukształtowania terenu i stosunków wodnych. Obowiązek właściwego zabezpieczenia elementów środowiska przyrodniczego, w tym gleby próchnicznej oraz istniejących drzew i krzewów, spoczywa na wykonawcy robót</w:t>
      </w:r>
      <w:r>
        <w:rPr>
          <w:rFonts w:ascii="Times New Roman" w:eastAsia="Times New Roman" w:hAnsi="Times New Roman" w:cs="Times New Roman"/>
          <w:color w:val="FF0000"/>
          <w:kern w:val="0"/>
          <w:lang w:eastAsia="pl-PL" w:bidi="ar-SA"/>
        </w:rPr>
        <w:t xml:space="preserve">. </w:t>
      </w:r>
      <w:r>
        <w:rPr>
          <w:rFonts w:ascii="Times New Roman" w:eastAsia="Times New Roman" w:hAnsi="Times New Roman" w:cs="Times New Roman"/>
          <w:kern w:val="0"/>
          <w:lang w:eastAsia="pl-PL" w:bidi="ar-SA"/>
        </w:rPr>
        <w:t xml:space="preserve">Jeżeli </w:t>
      </w:r>
      <w:r>
        <w:rPr>
          <w:rFonts w:ascii="Times New Roman" w:eastAsia="Times New Roman" w:hAnsi="Times New Roman" w:cs="Times New Roman"/>
          <w:kern w:val="0"/>
          <w:lang w:eastAsia="pl-PL" w:bidi="ar-SA"/>
        </w:rPr>
        <w:lastRenderedPageBreak/>
        <w:t xml:space="preserve">ochrona elementów przyrodniczych nie jest możliwa, należy podejmować działania mające na celu naprawienie wyrządzonych szkód, w szczególności przez kompensację przyrodniczą, którą rozumie się jako: zespół działań obejmujących w szczególności roboty budowlane, roboty ziemne, rekultywację gleby, zalesianie, zadrzewianie lub tworzenie skupień roślinności, prowadzących do przywrócenia równowagi przyrodniczej na danym terenie, wyrównania szkód dokonanych w środowisku przez realizację przedsięwzięcia i zachowanie walorów krajobrazowych. </w:t>
      </w:r>
    </w:p>
    <w:p w:rsidR="00AD3A51" w:rsidRDefault="00AD3A51" w:rsidP="00AD3A51">
      <w:pPr>
        <w:pStyle w:val="Akapitzlist"/>
        <w:widowControl/>
        <w:ind w:left="0"/>
        <w:jc w:val="both"/>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Ponadto przypominam, że zgodnie z art. 75 ust. 2 ww. ustawy: „Przy prowadzeniu prac budowlanych dopuszcza się wykorzystywanie i przekształcanie elementów przyrodniczych wyłącznie w takim zakresie, w jakim jest to konieczne w związku z realizacją konkretnej inwestycji.”</w:t>
      </w:r>
    </w:p>
    <w:p w:rsidR="00AD3A51" w:rsidRDefault="00AD3A51" w:rsidP="00AD3A51">
      <w:pPr>
        <w:widowControl/>
        <w:pBdr>
          <w:top w:val="none" w:sz="0" w:space="0" w:color="000000"/>
          <w:left w:val="none" w:sz="0" w:space="0" w:color="000000"/>
          <w:bottom w:val="none" w:sz="0" w:space="0" w:color="000000"/>
          <w:right w:val="none" w:sz="0" w:space="0" w:color="000000"/>
        </w:pBdr>
        <w:tabs>
          <w:tab w:val="left" w:pos="-16598"/>
        </w:tabs>
        <w:overflowPunct w:val="0"/>
        <w:autoSpaceDE w:val="0"/>
        <w:autoSpaceDN/>
        <w:jc w:val="both"/>
        <w:rPr>
          <w:rFonts w:ascii="Times New Roman" w:eastAsia="Times New Roman" w:hAnsi="Times New Roman" w:cs="Times New Roman"/>
          <w:kern w:val="0"/>
          <w:lang w:eastAsia="pl-PL" w:bidi="ar-SA"/>
        </w:rPr>
      </w:pPr>
      <w:r w:rsidRPr="005C1DE9">
        <w:rPr>
          <w:rFonts w:ascii="Times New Roman" w:eastAsia="Times New Roman" w:hAnsi="Times New Roman" w:cs="Times New Roman"/>
          <w:kern w:val="0"/>
          <w:lang w:eastAsia="pl-PL" w:bidi="ar-SA"/>
        </w:rPr>
        <w:t xml:space="preserve">Przystępując do robót budowlanych należy pamiętać o przepisach chroniących prawa zwierząt, a w szczególności rozporządzenie Ministra  Środowiska z dnia 16 grudnia 2016 r. w sprawie ochrony gatunkowej zwierząt, które w § 6 ust. 1 zakazuje m.in. „niszczenia siedlisk lub ostoi, będących ich obszarem rozrodu, wychowu młodych, odpoczynku migracji lub żerowania.” </w:t>
      </w:r>
    </w:p>
    <w:p w:rsidR="002B523C" w:rsidRPr="009871F5" w:rsidRDefault="002B523C" w:rsidP="002B523C">
      <w:pPr>
        <w:widowControl/>
        <w:pBdr>
          <w:top w:val="none" w:sz="0" w:space="0" w:color="000000"/>
          <w:left w:val="none" w:sz="0" w:space="0" w:color="000000"/>
          <w:bottom w:val="none" w:sz="0" w:space="0" w:color="000000"/>
          <w:right w:val="none" w:sz="0" w:space="0" w:color="000000"/>
        </w:pBdr>
        <w:tabs>
          <w:tab w:val="left" w:pos="-16598"/>
        </w:tabs>
        <w:overflowPunct w:val="0"/>
        <w:autoSpaceDE w:val="0"/>
        <w:autoSpaceDN/>
        <w:jc w:val="both"/>
        <w:rPr>
          <w:rFonts w:ascii="Times New Roman" w:eastAsia="Times New Roman" w:hAnsi="Times New Roman" w:cs="Times New Roman"/>
          <w:kern w:val="1"/>
          <w:lang w:bidi="ar-SA"/>
        </w:rPr>
      </w:pPr>
      <w:r w:rsidRPr="002B523C">
        <w:rPr>
          <w:rFonts w:ascii="Times New Roman" w:eastAsia="Times New Roman" w:hAnsi="Times New Roman" w:cs="Times New Roman"/>
          <w:kern w:val="0"/>
          <w:lang w:eastAsia="pl-PL" w:bidi="ar-SA"/>
        </w:rPr>
        <w:t>Zgodnie z art. 93 ust. 3 ustawy z dnia 3 października 2008 r. o udostępnianiu informacji o środowisku i jego ochronie, udziale społeczeństwa w ochronie środowiska oraz o ocenach oddziaływania na środowisko</w:t>
      </w:r>
      <w:r w:rsidRPr="009871F5">
        <w:rPr>
          <w:rFonts w:ascii="Times New Roman" w:eastAsia="Times New Roman" w:hAnsi="Times New Roman" w:cs="Times New Roman"/>
          <w:kern w:val="0"/>
          <w:lang w:eastAsia="pl-PL" w:bidi="ar-SA"/>
        </w:rPr>
        <w:t xml:space="preserve"> organ nie stwierdził konieczności </w:t>
      </w:r>
      <w:r w:rsidRPr="009871F5">
        <w:rPr>
          <w:rFonts w:ascii="Times New Roman" w:eastAsia="Times New Roman" w:hAnsi="Times New Roman" w:cs="Times New Roman"/>
          <w:kern w:val="1"/>
          <w:lang w:bidi="ar-SA"/>
        </w:rPr>
        <w:t xml:space="preserve">wykonania kompensacji przyrodniczej </w:t>
      </w:r>
      <w:r w:rsidR="009871F5" w:rsidRPr="009871F5">
        <w:rPr>
          <w:rFonts w:ascii="Times New Roman" w:eastAsia="Times New Roman" w:hAnsi="Times New Roman" w:cs="Times New Roman"/>
          <w:kern w:val="1"/>
          <w:lang w:bidi="ar-SA"/>
        </w:rPr>
        <w:t xml:space="preserve">których </w:t>
      </w:r>
      <w:r w:rsidRPr="009871F5">
        <w:rPr>
          <w:rFonts w:ascii="Times New Roman" w:eastAsia="Times New Roman" w:hAnsi="Times New Roman" w:cs="Times New Roman"/>
          <w:kern w:val="1"/>
          <w:lang w:bidi="ar-SA"/>
        </w:rPr>
        <w:t>nie wskazano w decyzji środowiskowej.</w:t>
      </w:r>
    </w:p>
    <w:p w:rsidR="00AD3A51" w:rsidRDefault="00AD3A51" w:rsidP="00AD3A51">
      <w:pPr>
        <w:pStyle w:val="Akapitzlist"/>
        <w:widowControl/>
        <w:numPr>
          <w:ilvl w:val="0"/>
          <w:numId w:val="26"/>
        </w:numPr>
        <w:ind w:left="284"/>
        <w:jc w:val="both"/>
        <w:textAlignment w:val="auto"/>
        <w:rPr>
          <w:rFonts w:ascii="Times New Roman" w:eastAsia="Times New Roman" w:hAnsi="Times New Roman" w:cs="Times New Roman"/>
          <w:kern w:val="0"/>
          <w:lang w:eastAsia="pl-PL" w:bidi="ar-SA"/>
        </w:rPr>
      </w:pPr>
      <w:r>
        <w:t>określam szczegółowe wymagania dotyczące nadzoru na budowie:</w:t>
      </w:r>
    </w:p>
    <w:p w:rsidR="00AD3A51" w:rsidRDefault="00AD3A51" w:rsidP="00AD3A51">
      <w:pPr>
        <w:pStyle w:val="Standard"/>
        <w:numPr>
          <w:ilvl w:val="0"/>
          <w:numId w:val="29"/>
        </w:numPr>
        <w:ind w:left="0"/>
        <w:jc w:val="both"/>
      </w:pPr>
      <w:r>
        <w:t>Inwestor jest obowiązany zapewnić objęcie kierownictwa budowy lub określonych robót budowlanych oraz nadzór nad robotami przez osobę posiadającą uprawnienia budowlane w odpowiedniej specjalności i spełniającą wymóg art. 12 ust. 7 ustawy Prawo budowlane, zgodnie z art. 42 ust. 1 ustawy – Prawo budowlane;</w:t>
      </w:r>
    </w:p>
    <w:p w:rsidR="0018174A" w:rsidRDefault="0018174A" w:rsidP="0018174A">
      <w:pPr>
        <w:pStyle w:val="Standard"/>
        <w:numPr>
          <w:ilvl w:val="0"/>
          <w:numId w:val="29"/>
        </w:numPr>
        <w:ind w:left="0" w:hanging="284"/>
        <w:jc w:val="both"/>
      </w:pPr>
      <w:r>
        <w:t>na podstawie § 2 ust. 1 pkt 1 rozporządzenia  Ministra Infrastruktury z dnia 19 listopada 2001 r., w sprawie rodzajów obiektów budowlanych, przy których realizacji jest wymagane ustanowienie inspektora nadzoru inwestorskiego (Dz. U. nr 138, poz. 1554), nakładam na inwestora obowiązek ustanowienia inspektora nadzoru inwestorskiego nad wykonawstwem robót w zakresie ustalonym w projekcie budowlanym, zatwierdzonym niniejsza decyzją, posiadającego uprawnienia budowlane w odpowiedniej  specjalności</w:t>
      </w:r>
      <w:r>
        <w:rPr>
          <w:color w:val="C00000"/>
        </w:rPr>
        <w:t xml:space="preserve">, </w:t>
      </w:r>
      <w:r>
        <w:t>zgodnie z art. 36 ust 1 pkt 4 w powiązaniu z art. 19 ust. 1 ustawy Prawo budowlane;</w:t>
      </w:r>
      <w:r>
        <w:rPr>
          <w:color w:val="70AD47"/>
        </w:rPr>
        <w:t xml:space="preserve"> </w:t>
      </w:r>
    </w:p>
    <w:p w:rsidR="00AD3A51" w:rsidRDefault="00AD3A51" w:rsidP="00AD3A51">
      <w:pPr>
        <w:pStyle w:val="Akapitzlist"/>
        <w:numPr>
          <w:ilvl w:val="0"/>
          <w:numId w:val="27"/>
        </w:numPr>
        <w:ind w:left="0"/>
        <w:jc w:val="both"/>
      </w:pPr>
      <w:r>
        <w:t>zgodnie z art. 42 ust. 4 ustawy – Prawo budowlane, przy prowadzeniu robót budowlanych, do kierowania którymi jest wymagane przygotowanie zawodowe w specjalności techniczno-budowlanej innej niż posiada kierownik budowy, inwestor jest obowiązany zapewnić ustanowienie kierownika robót w danej specjalności.</w:t>
      </w:r>
    </w:p>
    <w:p w:rsidR="00AD3A51" w:rsidRDefault="0018174A" w:rsidP="00AD3A51">
      <w:pPr>
        <w:pStyle w:val="Standard"/>
        <w:jc w:val="both"/>
      </w:pPr>
      <w:r>
        <w:rPr>
          <w:b/>
        </w:rPr>
        <w:t>3</w:t>
      </w:r>
      <w:r w:rsidR="00AD3A51">
        <w:rPr>
          <w:b/>
        </w:rPr>
        <w:t>)</w:t>
      </w:r>
      <w:r w:rsidR="00AD3A51">
        <w:t xml:space="preserve"> informuję o obowiązkach i warunkach, wynikających:</w:t>
      </w:r>
    </w:p>
    <w:p w:rsidR="00AD3A51" w:rsidRDefault="00AD3A51" w:rsidP="00AD3A51">
      <w:pPr>
        <w:pStyle w:val="Standard"/>
        <w:numPr>
          <w:ilvl w:val="0"/>
          <w:numId w:val="30"/>
        </w:numPr>
        <w:jc w:val="both"/>
      </w:pPr>
      <w:r>
        <w:t>z art. 54 ustawy – Prawo budowlane, który stanowi</w:t>
      </w:r>
      <w:r>
        <w:rPr>
          <w:kern w:val="0"/>
          <w:lang w:eastAsia="pl-PL"/>
        </w:rPr>
        <w:t xml:space="preserve">, że:  </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„1.  Do użytkowania obiektu budowlanego, na budowę którego wymagana jest decyzja o p</w:t>
      </w:r>
      <w:r>
        <w:rPr>
          <w:rFonts w:ascii="Times New Roman" w:eastAsia="Times New Roman" w:hAnsi="Times New Roman" w:cs="Times New Roman"/>
          <w:kern w:val="0"/>
          <w:lang w:eastAsia="pl-PL" w:bidi="ar-SA"/>
        </w:rPr>
        <w:t>o</w:t>
      </w:r>
      <w:r>
        <w:rPr>
          <w:rFonts w:ascii="Times New Roman" w:eastAsia="Times New Roman" w:hAnsi="Times New Roman" w:cs="Times New Roman"/>
          <w:kern w:val="0"/>
          <w:lang w:eastAsia="pl-PL" w:bidi="ar-SA"/>
        </w:rPr>
        <w:t>zwoleniu na budowę albo zgłoszenie budowy, o której mowa w art. 29 ust. 1 pkt 1 i 2, można przystąpić, z zastrzeżeniem art. 55 i art. 57, po zawiadomieniu organu nadzoru budowlanego o zakończeniu budowy, jeżeli organ ten, w terminie 14 dni od dnia doręczenia zawiadomi</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nia, nie zgłosi sprzeciwu w drodze decyzji. Przepis art. 30 ust. 6a stosuje się.</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2.  Organ nadzoru budowlanego może z urzędu przed upływem terminu, o którym mowa w ust. 1, wydać zaświadczenie o braku podstaw do wniesienia sprzeciwu. Wydanie zaświadcz</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nia wyłącza możliwość wniesienia sprzeciwu, o którym mowa w ust. 1, oraz uprawnia inw</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 xml:space="preserve">stora do rozpoczęcia użytkowania obiektu, o którym mowa w ust. 1.” </w:t>
      </w:r>
    </w:p>
    <w:p w:rsidR="00AD3A51" w:rsidRDefault="00AD3A51" w:rsidP="00AD3A51">
      <w:pPr>
        <w:pStyle w:val="Akapitzlist"/>
        <w:widowControl/>
        <w:numPr>
          <w:ilvl w:val="0"/>
          <w:numId w:val="30"/>
        </w:numPr>
        <w:suppressAutoHyphens w:val="0"/>
        <w:textAlignment w:val="auto"/>
      </w:pPr>
      <w:r>
        <w:rPr>
          <w:rFonts w:ascii="Times New Roman" w:eastAsia="Times New Roman" w:hAnsi="Times New Roman" w:cs="Times New Roman"/>
          <w:kern w:val="0"/>
          <w:lang w:eastAsia="pl-PL" w:bidi="ar-SA"/>
        </w:rPr>
        <w:t xml:space="preserve">lub wynikające z art.  55 </w:t>
      </w:r>
      <w:r>
        <w:t>ustawy – Prawo budowlane, który stanowi</w:t>
      </w:r>
      <w:r>
        <w:rPr>
          <w:kern w:val="0"/>
          <w:lang w:eastAsia="pl-PL"/>
        </w:rPr>
        <w:t>, że: </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lastRenderedPageBreak/>
        <w:t>„1.  Do użytkowania obiektu budowlanego, na budowę którego wymagana jest decyzja o pozwoleniu na budowę albo zgłoszenie budowy, o której mowa w art. 29 ust. 1 pkt 1 i 2, można przystąpić, z zastrzeżeniem art. 55 i art. 57, po zawiadomieniu organu nadzoru budo</w:t>
      </w:r>
      <w:r>
        <w:rPr>
          <w:rFonts w:ascii="Times New Roman" w:eastAsia="Times New Roman" w:hAnsi="Times New Roman" w:cs="Times New Roman"/>
          <w:kern w:val="0"/>
          <w:lang w:eastAsia="pl-PL" w:bidi="ar-SA"/>
        </w:rPr>
        <w:t>w</w:t>
      </w:r>
      <w:r>
        <w:rPr>
          <w:rFonts w:ascii="Times New Roman" w:eastAsia="Times New Roman" w:hAnsi="Times New Roman" w:cs="Times New Roman"/>
          <w:kern w:val="0"/>
          <w:lang w:eastAsia="pl-PL" w:bidi="ar-SA"/>
        </w:rPr>
        <w:t>lanego o zakończeniu budowy, jeżeli organ ten, w terminie 14 dni od dnia doręczenia zawi</w:t>
      </w:r>
      <w:r>
        <w:rPr>
          <w:rFonts w:ascii="Times New Roman" w:eastAsia="Times New Roman" w:hAnsi="Times New Roman" w:cs="Times New Roman"/>
          <w:kern w:val="0"/>
          <w:lang w:eastAsia="pl-PL" w:bidi="ar-SA"/>
        </w:rPr>
        <w:t>a</w:t>
      </w:r>
      <w:r>
        <w:rPr>
          <w:rFonts w:ascii="Times New Roman" w:eastAsia="Times New Roman" w:hAnsi="Times New Roman" w:cs="Times New Roman"/>
          <w:kern w:val="0"/>
          <w:lang w:eastAsia="pl-PL" w:bidi="ar-SA"/>
        </w:rPr>
        <w:t>domienia, nie zgłosi sprzeciwu w drodze decyzji. Przepis art. 30 ust. 6a stosuje się.</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Organ nadzoru budowlanego może z urzędu przed upływem terminu, o którym mowa w ust. 1, wydać zaświadczenie o braku podstaw do wniesienia sprzeciwu. Wydanie zaświa</w:t>
      </w:r>
      <w:r>
        <w:rPr>
          <w:rFonts w:ascii="Times New Roman" w:eastAsia="Times New Roman" w:hAnsi="Times New Roman" w:cs="Times New Roman"/>
          <w:kern w:val="0"/>
          <w:lang w:eastAsia="pl-PL" w:bidi="ar-SA"/>
        </w:rPr>
        <w:t>d</w:t>
      </w:r>
      <w:r>
        <w:rPr>
          <w:rFonts w:ascii="Times New Roman" w:eastAsia="Times New Roman" w:hAnsi="Times New Roman" w:cs="Times New Roman"/>
          <w:kern w:val="0"/>
          <w:lang w:eastAsia="pl-PL" w:bidi="ar-SA"/>
        </w:rPr>
        <w:t xml:space="preserve">czenia wyłącza możliwość wniesienia sprzeciwu, o którym mowa w ust. 1, oraz uprawnia inwestora do rozpoczęcia użytkowania obiektu, o którym mowa w ust. 1.” </w:t>
      </w:r>
    </w:p>
    <w:p w:rsidR="00AD3A51" w:rsidRDefault="00AD3A51" w:rsidP="00AD3A51">
      <w:pPr>
        <w:pStyle w:val="Akapitzlist"/>
        <w:widowControl/>
        <w:numPr>
          <w:ilvl w:val="0"/>
          <w:numId w:val="31"/>
        </w:numPr>
        <w:pBdr>
          <w:top w:val="none" w:sz="0" w:space="0" w:color="000000"/>
          <w:left w:val="none" w:sz="0" w:space="0" w:color="000000"/>
          <w:bottom w:val="none" w:sz="0" w:space="0" w:color="000000"/>
          <w:right w:val="none" w:sz="0" w:space="0" w:color="000000"/>
        </w:pBdr>
        <w:suppressAutoHyphens w:val="0"/>
        <w:autoSpaceDN/>
        <w:jc w:val="both"/>
        <w:textAlignment w:val="auto"/>
      </w:pPr>
      <w:r>
        <w:rPr>
          <w:rStyle w:val="Domylnaczcionkaakapitu2"/>
          <w:rFonts w:ascii="Times New Roman" w:eastAsia="Times New Roman" w:hAnsi="Times New Roman" w:cs="Times New Roman"/>
          <w:kern w:val="0"/>
          <w:szCs w:val="24"/>
          <w:lang w:eastAsia="pl-PL" w:bidi="ar-SA"/>
        </w:rPr>
        <w:t xml:space="preserve">lub wynikające z art.  55 </w:t>
      </w:r>
      <w:r>
        <w:rPr>
          <w:rFonts w:ascii="Times New Roman" w:hAnsi="Times New Roman"/>
          <w:szCs w:val="24"/>
        </w:rPr>
        <w:t>ustawy – Prawo budowlane, który stanowi</w:t>
      </w:r>
      <w:r>
        <w:rPr>
          <w:rStyle w:val="Domylnaczcionkaakapitu2"/>
          <w:rFonts w:ascii="Times New Roman" w:hAnsi="Times New Roman"/>
          <w:kern w:val="0"/>
          <w:szCs w:val="24"/>
          <w:lang w:eastAsia="pl-PL"/>
        </w:rPr>
        <w:t>, że: </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Przed przystąpieniem do użytkowania obiektu budowlanego należy uzyskać decyzję o pozwoleniu na użytkowanie, jeżeli: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na budowę obiektu budowlanego jest wymagane pozwolenie na budowę i jest on zaliczony do kategorii: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a) V, IX-XVI,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b) XVII - z wyjątkiem warsztatów rzemieślniczych, stacji obsługi pojazdów, myjni samoch</w:t>
      </w:r>
      <w:r>
        <w:rPr>
          <w:rFonts w:ascii="Times New Roman" w:eastAsia="Times New Roman" w:hAnsi="Times New Roman" w:cs="Times New Roman"/>
          <w:kern w:val="0"/>
          <w:lang w:eastAsia="pl-PL" w:bidi="ar-SA"/>
        </w:rPr>
        <w:t>o</w:t>
      </w:r>
      <w:r>
        <w:rPr>
          <w:rFonts w:ascii="Times New Roman" w:eastAsia="Times New Roman" w:hAnsi="Times New Roman" w:cs="Times New Roman"/>
          <w:kern w:val="0"/>
          <w:lang w:eastAsia="pl-PL" w:bidi="ar-SA"/>
        </w:rPr>
        <w:t>dowych i garaży do pięciu stanowisk włącznie,</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c) XVIII - z wyjątkiem obiektów magazynowych: budynki składowe, chłodnie, hangary i wiaty, a także budynków kolejowych: nastawnie, podstacje trakcyjne, lokomotywownie, wagonownie, strażnice przejazdowe i myjnie taboru kolejowego,</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d) XX,</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e) XXII - z wyjątkiem placów składowych, postojowych i parkingów,</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f) XXIV - z wyjątkiem stawów rybnych,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g) XXVII - z wyjątkiem jazów, wałów przeciwpowodziowych, opasek i ostróg brzegowych oraz rowów melioracyjnych,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h) XXVIII-XXX</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 o których mowa w załączniku do ustawy;</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zachodzą okoliczności, o których mowa w art. 49 ust. 5 albo art. 51 ust. 4;</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3) przystąpienie do użytkowania obiektu budowlanego ma nastąpić przed wykonaniem wszystkich robót budowlanych.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1a. Decyzja, o której mowa w ust. 1 pkt 3, może obejmować:</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obiekt budowlany lub jego część;</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niektóre z obiektów budowlanych objętych jedną decyzją o pozwoleniu na budowę lub zgłoszeniem budowy, o którym mowa w art. 29 ust. 1 pkt 1 i 2.</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1b.Decyzja, o której mowa w ust. 1 pkt 3, może być wydana, jeżeli oddawane do użytkowania obiekty budowlane lub ich części mogą samodzielnie funkcjonować zgodnie z przeznaczeniem.</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Inwestor zamiast dokonania zawiadomienia o zakończeniu budowy może wystąpić z wnioskiem o wydanie decyzji o pozwoleniu na użytkowanie.”</w:t>
      </w:r>
    </w:p>
    <w:p w:rsidR="00AD3A51" w:rsidRDefault="00AD3A51" w:rsidP="00AD3A51">
      <w:pPr>
        <w:jc w:val="both"/>
        <w:rPr>
          <w:b/>
        </w:rPr>
      </w:pPr>
    </w:p>
    <w:p w:rsidR="00AD3A51" w:rsidRPr="005C1DE9" w:rsidRDefault="00AD3A51" w:rsidP="00AD3A51">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kern w:val="1"/>
          <w:lang w:bidi="ar-SA"/>
        </w:rPr>
      </w:pPr>
      <w:r w:rsidRPr="005C1DE9">
        <w:rPr>
          <w:rFonts w:ascii="Times New Roman" w:eastAsia="Times New Roman" w:hAnsi="Times New Roman" w:cs="Times New Roman"/>
          <w:b/>
          <w:kern w:val="1"/>
          <w:lang w:bidi="ar-SA"/>
        </w:rPr>
        <w:t>Ponadto przypominam, o konieczności zachowania warunków wynikających z innych przepisów, w tym m.in.:</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588"/>
        </w:tabs>
        <w:overflowPunct w:val="0"/>
        <w:autoSpaceDE w:val="0"/>
        <w:autoSpaceDN/>
        <w:ind w:left="57" w:hanging="57"/>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roboty budowlane można rozpocząć jedynie na  podstawie decyzji o pozwoleniu na budowę, z zastrzeżeniem art. 29-31, zgodnie z art. 28 ust. 1 ustawy - Prawo budowlane;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decyzja o pozwoleniu na budowę wygasa, jeżeli budowa nie zostanie rozpoczęta przed upływem 3 lat od dnia, w którym ta stanie się ostateczną, lub budowa zostanie przerwana na okres dłuższy niż 3 lata, zgodnie z art. 37 ust. 1 ustawy - Prawo budowlane,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lastRenderedPageBreak/>
        <w:t>w razie konieczności inwestor jest zobowiązany uzyskać, zgodnie z art. 83a ust. 1 ustawy z dnia 16 kwietnia 2004 r. o ochronie przyrody (t.j. Dz.U. z 2022 r. poz. 916 ze zm.) „Zezwolenie na usunięcie drzewa lub krzewu z terenu nieruchomości (…)”, które „wydaje wójt, burmistrz albo prezydent miasta, a w przypadku gdy zezwolenie dotyczy usunięcia drzewa lub krzewu z terenu nieruchomości lub jej części wpisanej do rejestru zabytków - wojewódzki konserwator zabytków.”</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jeżeli do wykonania robót budowlanych zgodnie z niniejszą decyzją jest niezbędne wejście do sąsiedniego budynku, lokalu lub na teren sąsiedniej nieruchomości, inwestor jest obowiązany przed rozpoczęciem robót uzyskać zgodę właściciela sąsiedniej nieruchomości, budynku lub lokalu oraz ew. najemcy lub użytkownika, na wejście oraz uzgodnić z nim przewidywany sposób, zakres i terminy korzystania z tych obiektów, a także ewentualną rekompensatę z tego tytułu;</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po zakończeniu budowy doprowadzić do należytego stanu i porządku teren nieruchomości, a w razie korzystania w trakcie budowy, także drogę, ulicę, sąsiednią nieruchomość, budynek lub lokal;</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odpowiedzialność cywilno-prawna w związku z ewentualnymi szkodami wyrządzonymi w trakcie wykonywanych robót budowlanych oraz z tytułu odpowiedzialności za wejście na teren działek sąsiednich spoczywa w całości na inwestorze;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zatwierdzenie projektu zagospodarowania terenu i projektu architektoniczno-budowlanego dla niniejszej inwestycji nie zwalnia projektantów oraz projektantów sprawdzających z odpowiedzialności cywilnej i zawodowej za zgodność inwestycji z przepisami;</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organ przypomina o obowiązku gospodarowania odpadami zgodnie z przepisami, w tym ustawą z dnia 14 grudnia 2012 r. o odpadach (tj. Dz.U. z 2022 r., poz. 699 ze zm.).</w:t>
      </w:r>
    </w:p>
    <w:p w:rsidR="00AD3A51" w:rsidRPr="005C1DE9" w:rsidRDefault="00AD3A51" w:rsidP="00AD3A51">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b/>
          <w:kern w:val="1"/>
          <w:lang w:bidi="ar-SA"/>
        </w:rPr>
      </w:pPr>
    </w:p>
    <w:p w:rsidR="00703777" w:rsidRDefault="003E5E1D">
      <w:pPr>
        <w:pStyle w:val="Standard"/>
        <w:ind w:firstLine="709"/>
        <w:rPr>
          <w:b/>
        </w:rPr>
      </w:pPr>
      <w:r>
        <w:rPr>
          <w:b/>
        </w:rPr>
        <w:t xml:space="preserve">Otrzymanie ostatecznej decyzji pozwolenia na budowę nie zwalnia uczestników procesu budowlanego od obowiązków wynikających z innych przepisów. </w:t>
      </w:r>
    </w:p>
    <w:p w:rsidR="00703777" w:rsidRDefault="00703777">
      <w:pPr>
        <w:pStyle w:val="Standard"/>
        <w:ind w:left="360"/>
        <w:rPr>
          <w:b/>
        </w:rPr>
      </w:pPr>
    </w:p>
    <w:p w:rsidR="00703777" w:rsidRDefault="003E5E1D">
      <w:pPr>
        <w:pStyle w:val="Standard"/>
        <w:jc w:val="center"/>
        <w:rPr>
          <w:b/>
        </w:rPr>
      </w:pPr>
      <w:r>
        <w:rPr>
          <w:b/>
        </w:rPr>
        <w:t>UZASADNIENIE</w:t>
      </w:r>
    </w:p>
    <w:p w:rsidR="00703777" w:rsidRDefault="00703777">
      <w:pPr>
        <w:pStyle w:val="Standard"/>
        <w:jc w:val="center"/>
        <w:rPr>
          <w:b/>
        </w:rPr>
      </w:pPr>
    </w:p>
    <w:p w:rsidR="00AD3A51" w:rsidRDefault="00AD3A51" w:rsidP="00AD3A51">
      <w:pPr>
        <w:pStyle w:val="Standard"/>
        <w:ind w:firstLine="708"/>
        <w:jc w:val="both"/>
        <w:rPr>
          <w:color w:val="000000"/>
        </w:rPr>
      </w:pPr>
      <w:r>
        <w:rPr>
          <w:color w:val="000000"/>
        </w:rPr>
        <w:t xml:space="preserve">Dnia </w:t>
      </w:r>
      <w:r w:rsidR="004C626C">
        <w:rPr>
          <w:color w:val="000000"/>
        </w:rPr>
        <w:t>1</w:t>
      </w:r>
      <w:r>
        <w:rPr>
          <w:color w:val="000000"/>
        </w:rPr>
        <w:t xml:space="preserve"> sierpnia 2022 r. wpłynął do tutejszego organu wniosek o udzielenie pozwolenia na budowę.</w:t>
      </w:r>
    </w:p>
    <w:p w:rsidR="00AD3A51" w:rsidRPr="00F65092" w:rsidRDefault="00AD3A51" w:rsidP="00AD3A51">
      <w:pPr>
        <w:pStyle w:val="Standard"/>
        <w:jc w:val="both"/>
      </w:pPr>
      <w:r w:rsidRPr="003356D3">
        <w:rPr>
          <w:color w:val="FF0000"/>
        </w:rPr>
        <w:tab/>
      </w:r>
      <w:r w:rsidRPr="00F65092">
        <w:t>Na wstępie organ dokonał sprawdzenia kompletności wniosku pod względem formalnoprawnym. Inwestor do wniosku o pozwolenie na budowę dołączył:</w:t>
      </w:r>
    </w:p>
    <w:p w:rsidR="00AD3A51" w:rsidRPr="00F65092" w:rsidRDefault="00AD3A51" w:rsidP="00AD3A51">
      <w:pPr>
        <w:pStyle w:val="Akapitzlist"/>
        <w:numPr>
          <w:ilvl w:val="0"/>
          <w:numId w:val="33"/>
        </w:numPr>
        <w:suppressAutoHyphens w:val="0"/>
        <w:jc w:val="both"/>
        <w:rPr>
          <w:rFonts w:ascii="Times New Roman" w:hAnsi="Times New Roman" w:cs="Times New Roman"/>
        </w:rPr>
      </w:pPr>
      <w:r w:rsidRPr="00F65092">
        <w:rPr>
          <w:rFonts w:ascii="Times New Roman" w:hAnsi="Times New Roman" w:cs="Times New Roman"/>
        </w:rPr>
        <w:t>trzy egzemplarze projektu zagospodarowania działki lub terenu oraz projektu                  architektoniczno-budowlanego wraz z opiniami, uzgodnieniami, pozwoleniami i           innymi dokumentami, których obowiązek dołączenia wynika z przepisów odrębnych ustaw, lub kopiami tych opinii, uzgodnień, pozwoleń i innych dokumentów;</w:t>
      </w:r>
    </w:p>
    <w:p w:rsidR="00AD3A51" w:rsidRPr="00E47D67" w:rsidRDefault="00AD3A51" w:rsidP="00AD3A51">
      <w:pPr>
        <w:pStyle w:val="Akapitzlist"/>
        <w:numPr>
          <w:ilvl w:val="0"/>
          <w:numId w:val="33"/>
        </w:numPr>
        <w:jc w:val="both"/>
        <w:rPr>
          <w:rFonts w:ascii="Times New Roman" w:hAnsi="Times New Roman" w:cs="Times New Roman"/>
        </w:rPr>
      </w:pPr>
      <w:r w:rsidRPr="00F65092">
        <w:rPr>
          <w:rFonts w:ascii="Times New Roman" w:hAnsi="Times New Roman" w:cs="Times New Roman"/>
        </w:rPr>
        <w:t>oświadczenie o posiadanym prawie do dysponowania nieruchomością na cele budowlane;</w:t>
      </w:r>
    </w:p>
    <w:p w:rsidR="00AD3A51" w:rsidRDefault="00AD3A51" w:rsidP="00AD3A51">
      <w:pPr>
        <w:pStyle w:val="Akapitzlist"/>
        <w:numPr>
          <w:ilvl w:val="0"/>
          <w:numId w:val="33"/>
        </w:numPr>
        <w:jc w:val="both"/>
        <w:rPr>
          <w:rFonts w:ascii="Times New Roman" w:hAnsi="Times New Roman" w:cs="Times New Roman"/>
        </w:rPr>
      </w:pPr>
      <w:r w:rsidRPr="00F65092">
        <w:rPr>
          <w:rFonts w:ascii="Times New Roman" w:hAnsi="Times New Roman" w:cs="Times New Roman"/>
        </w:rPr>
        <w:t xml:space="preserve">oświadczenie projektanta dotyczące możliwości podłączenia projektowanego obiektu budowlanego do istniejącej sieci ciepłowniczej, zgodnie z warunkami określonymi w art. 7b ustawy z dnia 10 kwietnia 1997 r. – Prawo energetyczne (Dz. U. z 2019 r. poz. 755, z późn. </w:t>
      </w:r>
      <w:r>
        <w:rPr>
          <w:rFonts w:ascii="Times New Roman" w:hAnsi="Times New Roman" w:cs="Times New Roman"/>
        </w:rPr>
        <w:t>z</w:t>
      </w:r>
      <w:r w:rsidRPr="00F65092">
        <w:rPr>
          <w:rFonts w:ascii="Times New Roman" w:hAnsi="Times New Roman" w:cs="Times New Roman"/>
        </w:rPr>
        <w:t>m.), złożone pod rygorem odpowiedzialności karnej za złożenie fałszywego oświadczenia wynikającej z art.233 § 6 ustawy z dnia 6 czerwca 1997 r. – Kodeks karny (Dz. U. z 2019 r. poz. 1950 i 2128 oraz z 2020 r. poz. 568, 875 i 1086)</w:t>
      </w:r>
      <w:r w:rsidRPr="00AC5B6F">
        <w:rPr>
          <w:rFonts w:ascii="Times New Roman" w:hAnsi="Times New Roman" w:cs="Times New Roman"/>
        </w:rPr>
        <w:t>;</w:t>
      </w:r>
    </w:p>
    <w:p w:rsidR="00AD3A51" w:rsidRDefault="00AD3A51" w:rsidP="00AD3A51">
      <w:pPr>
        <w:pStyle w:val="Akapitzlist"/>
        <w:numPr>
          <w:ilvl w:val="0"/>
          <w:numId w:val="33"/>
        </w:numPr>
        <w:jc w:val="both"/>
        <w:rPr>
          <w:rFonts w:ascii="Times New Roman" w:hAnsi="Times New Roman" w:cs="Times New Roman"/>
        </w:rPr>
      </w:pPr>
      <w:r>
        <w:rPr>
          <w:rFonts w:ascii="Times New Roman" w:hAnsi="Times New Roman" w:cs="Times New Roman"/>
        </w:rPr>
        <w:t>pełnomocnictwo wraz z opłatą skarbową;</w:t>
      </w:r>
    </w:p>
    <w:p w:rsidR="004C626C" w:rsidRPr="008148A6" w:rsidRDefault="004C626C" w:rsidP="00AD3A51">
      <w:pPr>
        <w:pStyle w:val="Akapitzlist"/>
        <w:numPr>
          <w:ilvl w:val="0"/>
          <w:numId w:val="33"/>
        </w:numPr>
        <w:jc w:val="both"/>
        <w:rPr>
          <w:rFonts w:ascii="Times New Roman" w:hAnsi="Times New Roman" w:cs="Times New Roman"/>
        </w:rPr>
      </w:pPr>
      <w:r>
        <w:rPr>
          <w:rFonts w:ascii="Times New Roman" w:hAnsi="Times New Roman" w:cs="Times New Roman"/>
        </w:rPr>
        <w:t xml:space="preserve">decyzję </w:t>
      </w:r>
      <w:r w:rsidR="00E91964">
        <w:rPr>
          <w:rFonts w:ascii="Times New Roman" w:hAnsi="Times New Roman" w:cs="Times New Roman"/>
        </w:rPr>
        <w:t>ś</w:t>
      </w:r>
      <w:r>
        <w:rPr>
          <w:rFonts w:ascii="Times New Roman" w:hAnsi="Times New Roman" w:cs="Times New Roman"/>
        </w:rPr>
        <w:t>rodowiskową;</w:t>
      </w:r>
    </w:p>
    <w:p w:rsidR="00AD3A51" w:rsidRPr="00DB5743" w:rsidRDefault="00AD3A51" w:rsidP="00AD3A51">
      <w:pPr>
        <w:pStyle w:val="Akapitzlist"/>
        <w:jc w:val="both"/>
        <w:rPr>
          <w:rFonts w:ascii="Times New Roman" w:hAnsi="Times New Roman" w:cs="Times New Roman"/>
        </w:rPr>
      </w:pPr>
    </w:p>
    <w:p w:rsidR="00703777" w:rsidRPr="004C626C" w:rsidRDefault="003E5E1D">
      <w:pPr>
        <w:pStyle w:val="Standard"/>
        <w:ind w:firstLine="708"/>
        <w:jc w:val="both"/>
      </w:pPr>
      <w:r w:rsidRPr="004C626C">
        <w:rPr>
          <w:bCs/>
        </w:rPr>
        <w:t xml:space="preserve">Wobec tego, że inwestor nie złożył do Starosty Piaseczyńskiego wniosku o ponowne przeprowadzenie oceny oddziaływania przedsięwzięcia na środowisko, organ dokonał na podstawie </w:t>
      </w:r>
      <w:r w:rsidRPr="004C626C">
        <w:t xml:space="preserve">art. 88 ust. 1 pkt 2 ustawy z dnia 3 października 2008 r. o udostępnianiu informacji o środowisku i jego ochronie, udziale społeczeństwa w ochronie środowiska oraz o ocenach oddziaływania na środowisko (t.j. Dz. U. z 2020 r., poz. 283 ze zm.) </w:t>
      </w:r>
      <w:r w:rsidRPr="004C626C">
        <w:rPr>
          <w:bCs/>
        </w:rPr>
        <w:t>oceny,</w:t>
      </w:r>
      <w:r w:rsidRPr="004C626C">
        <w:t xml:space="preserve">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w:t>
      </w:r>
      <w:r w:rsidRPr="004C626C">
        <w:rPr>
          <w:iCs/>
        </w:rPr>
        <w:t xml:space="preserve">organ uznał, że nie zachodzi konieczność ponownego przeprowadzenia oceny oddziaływania inwestycji na środowisko. </w:t>
      </w:r>
    </w:p>
    <w:p w:rsidR="00703777" w:rsidRPr="004C626C" w:rsidRDefault="003E5E1D">
      <w:pPr>
        <w:pStyle w:val="Standard"/>
        <w:ind w:firstLine="349"/>
        <w:jc w:val="both"/>
      </w:pPr>
      <w:r w:rsidRPr="004C626C">
        <w:t xml:space="preserve">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sposób zostały one uwzględnione w projekcie budowlanym w zakresie warunków zabezpieczenia terenu budowy i prowadzenia robót budowlanych organ przypomniał o konieczności dostosowania się do uwag i zaleceń zawartych w decyzji środowiskowej </w:t>
      </w:r>
      <w:r w:rsidR="004C626C" w:rsidRPr="004C626C">
        <w:t xml:space="preserve">Burmistrza Miasta i Gminy Góra Kalwaria </w:t>
      </w:r>
      <w:r w:rsidRPr="004C626C">
        <w:t xml:space="preserve">z dnia </w:t>
      </w:r>
      <w:r w:rsidR="004C626C" w:rsidRPr="004C626C">
        <w:t>20 kwietnia 2022</w:t>
      </w:r>
      <w:r w:rsidRPr="004C626C">
        <w:t xml:space="preserve"> r., znak </w:t>
      </w:r>
      <w:r w:rsidR="004C626C" w:rsidRPr="004C626C">
        <w:t>OŚR.6220.27.2021.MS</w:t>
      </w:r>
      <w:r w:rsidRPr="004C626C">
        <w:t xml:space="preserve">, </w:t>
      </w:r>
      <w:r w:rsidR="004C626C" w:rsidRPr="004C626C">
        <w:t xml:space="preserve">sprostowaną postanowieniem Burmistrza Miasta i Gminy Góra Kalwaria z dnia 29 kwietnia 2022 r., </w:t>
      </w:r>
      <w:r w:rsidRPr="004C626C">
        <w:t>tj.:</w:t>
      </w:r>
    </w:p>
    <w:p w:rsidR="00703777" w:rsidRPr="004C626C" w:rsidRDefault="004C626C" w:rsidP="00976C4C">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4C626C">
        <w:rPr>
          <w:rFonts w:ascii="Times New Roman" w:eastAsia="Calibri" w:hAnsi="Times New Roman" w:cs="Times New Roman"/>
          <w:bCs/>
          <w:iCs/>
          <w:kern w:val="0"/>
          <w:lang w:eastAsia="en-US" w:bidi="ar-SA"/>
        </w:rPr>
        <w:t>przed przystąpieniem do jakichkolwiek działań należy dokonać oględzin terenu pod kątem występowania gatunków chronionych i ich siedlisk oraz analizy planowanych prac w ko</w:t>
      </w:r>
      <w:r w:rsidRPr="004C626C">
        <w:rPr>
          <w:rFonts w:ascii="Times New Roman" w:eastAsia="Calibri" w:hAnsi="Times New Roman" w:cs="Times New Roman"/>
          <w:bCs/>
          <w:iCs/>
          <w:kern w:val="0"/>
          <w:lang w:eastAsia="en-US" w:bidi="ar-SA"/>
        </w:rPr>
        <w:t>n</w:t>
      </w:r>
      <w:r w:rsidRPr="004C626C">
        <w:rPr>
          <w:rFonts w:ascii="Times New Roman" w:eastAsia="Calibri" w:hAnsi="Times New Roman" w:cs="Times New Roman"/>
          <w:bCs/>
          <w:iCs/>
          <w:kern w:val="0"/>
          <w:lang w:eastAsia="en-US" w:bidi="ar-SA"/>
        </w:rPr>
        <w:t>tekście przepisów dotyczących w szczególności dziko występujących zwierząt objętych ochroną gatunkową; analiza winna być prowadzona również w kontekście możliwości uzyskania decyzji zezwalającej na odstępstwa od zakazów obowiązujących w stosunku do ww. formy ochrony przyrody</w:t>
      </w:r>
      <w:r w:rsidR="003E5E1D" w:rsidRPr="004C626C">
        <w:rPr>
          <w:rFonts w:ascii="Times New Roman" w:eastAsia="Calibri" w:hAnsi="Times New Roman" w:cs="Times New Roman"/>
          <w:bCs/>
          <w:iCs/>
          <w:kern w:val="0"/>
          <w:lang w:eastAsia="en-US" w:bidi="ar-SA"/>
        </w:rPr>
        <w:t xml:space="preserve">; </w:t>
      </w:r>
    </w:p>
    <w:p w:rsidR="00703777" w:rsidRPr="004C626C" w:rsidRDefault="003E5E1D" w:rsidP="00976C4C">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4C626C">
        <w:rPr>
          <w:rFonts w:ascii="Times New Roman" w:eastAsia="Calibri" w:hAnsi="Times New Roman" w:cs="Times New Roman"/>
          <w:bCs/>
          <w:iCs/>
          <w:kern w:val="0"/>
          <w:lang w:eastAsia="en-US" w:bidi="ar-SA"/>
        </w:rPr>
        <w:t xml:space="preserve">wycinkę drzew </w:t>
      </w:r>
      <w:r w:rsidR="004C626C" w:rsidRPr="004C626C">
        <w:rPr>
          <w:rFonts w:ascii="Times New Roman" w:eastAsia="Calibri" w:hAnsi="Times New Roman" w:cs="Times New Roman"/>
          <w:bCs/>
          <w:iCs/>
          <w:kern w:val="0"/>
          <w:lang w:eastAsia="en-US" w:bidi="ar-SA"/>
        </w:rPr>
        <w:t>wykonać poza sezonem lęgowym ptaków, w okresie od początku września do końca lutego lub w okresie lęgowym ptaków pod nadzorem ornitologicznym</w:t>
      </w:r>
      <w:r w:rsidRPr="004C626C">
        <w:rPr>
          <w:rFonts w:ascii="Times New Roman" w:eastAsia="Calibri" w:hAnsi="Times New Roman" w:cs="Times New Roman"/>
          <w:bCs/>
          <w:iCs/>
          <w:kern w:val="0"/>
          <w:lang w:eastAsia="en-US" w:bidi="ar-SA"/>
        </w:rPr>
        <w:t xml:space="preserve">; </w:t>
      </w:r>
    </w:p>
    <w:p w:rsidR="00703777" w:rsidRPr="002F4E52" w:rsidRDefault="002F4E52" w:rsidP="00976C4C">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2F4E52">
        <w:rPr>
          <w:rFonts w:ascii="Times New Roman" w:eastAsia="Calibri" w:hAnsi="Times New Roman" w:cs="Times New Roman"/>
          <w:bCs/>
          <w:iCs/>
          <w:kern w:val="0"/>
          <w:lang w:eastAsia="en-US" w:bidi="ar-SA"/>
        </w:rPr>
        <w:t>otwarte wykopy ziemne na terenie budowy należy zabezpieczyć (wygrodzenia, przykrycia) przed możliwością wpadania do nich drobnych zwierząt lub w miarę możliwości            wyprofilować kąt nachylenia jednej ze skarp wykopu w sposób umożliwiający                samodzielne wychodzenie uwięzionych zwierząt; poza tym wykopy należy regularnie  kontrolować do czasu ich zasypania, a w przypadku stwierdzenia w nich poszczególnych osobników należy je ewakuować poza teren budowy, z zastosowaniem przepisów           odrębnych</w:t>
      </w:r>
      <w:r w:rsidR="003E5E1D" w:rsidRPr="002F4E52">
        <w:rPr>
          <w:rFonts w:ascii="Times New Roman" w:eastAsia="Calibri" w:hAnsi="Times New Roman" w:cs="Times New Roman"/>
          <w:bCs/>
          <w:iCs/>
          <w:kern w:val="0"/>
          <w:lang w:eastAsia="en-US" w:bidi="ar-SA"/>
        </w:rPr>
        <w:t>;</w:t>
      </w:r>
    </w:p>
    <w:p w:rsidR="00703777" w:rsidRPr="002F4E52" w:rsidRDefault="002F4E52" w:rsidP="00976C4C">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2F4E52">
        <w:rPr>
          <w:rFonts w:ascii="Times New Roman" w:eastAsia="Calibri" w:hAnsi="Times New Roman" w:cs="Times New Roman"/>
          <w:bCs/>
          <w:iCs/>
          <w:kern w:val="0"/>
          <w:lang w:eastAsia="en-US" w:bidi="ar-SA"/>
        </w:rPr>
        <w:t xml:space="preserve">prace budowlane rozpocząć od wykonania tymczasowych płotków herpetologicznych chroniących przed dostaniem się płazów na plac budowy; wygrodzenie o wysokości </w:t>
      </w:r>
      <w:r>
        <w:rPr>
          <w:rFonts w:ascii="Times New Roman" w:eastAsia="Calibri" w:hAnsi="Times New Roman" w:cs="Times New Roman"/>
          <w:bCs/>
          <w:iCs/>
          <w:kern w:val="0"/>
          <w:lang w:eastAsia="en-US" w:bidi="ar-SA"/>
        </w:rPr>
        <w:t xml:space="preserve">      </w:t>
      </w:r>
      <w:r w:rsidRPr="002F4E52">
        <w:rPr>
          <w:rFonts w:ascii="Times New Roman" w:eastAsia="Calibri" w:hAnsi="Times New Roman" w:cs="Times New Roman"/>
          <w:bCs/>
          <w:iCs/>
          <w:kern w:val="0"/>
          <w:lang w:eastAsia="en-US" w:bidi="ar-SA"/>
        </w:rPr>
        <w:t>minimum 50 cm wykonać z siatki, która powinna być stabilnie i szczelnie zakot</w:t>
      </w:r>
      <w:r>
        <w:rPr>
          <w:rFonts w:ascii="Times New Roman" w:eastAsia="Calibri" w:hAnsi="Times New Roman" w:cs="Times New Roman"/>
          <w:bCs/>
          <w:iCs/>
          <w:kern w:val="0"/>
          <w:lang w:eastAsia="en-US" w:bidi="ar-SA"/>
        </w:rPr>
        <w:t>w</w:t>
      </w:r>
      <w:r w:rsidRPr="002F4E52">
        <w:rPr>
          <w:rFonts w:ascii="Times New Roman" w:eastAsia="Calibri" w:hAnsi="Times New Roman" w:cs="Times New Roman"/>
          <w:bCs/>
          <w:iCs/>
          <w:kern w:val="0"/>
          <w:lang w:eastAsia="en-US" w:bidi="ar-SA"/>
        </w:rPr>
        <w:t xml:space="preserve">iczona w gruncie oraz posiadać tzw. </w:t>
      </w:r>
      <w:r>
        <w:rPr>
          <w:rFonts w:ascii="Times New Roman" w:eastAsia="Calibri" w:hAnsi="Times New Roman" w:cs="Times New Roman"/>
          <w:bCs/>
          <w:iCs/>
          <w:kern w:val="0"/>
          <w:lang w:eastAsia="en-US" w:bidi="ar-SA"/>
        </w:rPr>
        <w:t>p</w:t>
      </w:r>
      <w:r w:rsidRPr="002F4E52">
        <w:rPr>
          <w:rFonts w:ascii="Times New Roman" w:eastAsia="Calibri" w:hAnsi="Times New Roman" w:cs="Times New Roman"/>
          <w:bCs/>
          <w:iCs/>
          <w:kern w:val="0"/>
          <w:lang w:eastAsia="en-US" w:bidi="ar-SA"/>
        </w:rPr>
        <w:t xml:space="preserve">rzewieszkę, zakończenia wygrodzenia należy uformować w kształt litery „U”; wszelkie czynności należ prowadzić pod nadzorem przyrodniczym </w:t>
      </w:r>
      <w:r>
        <w:rPr>
          <w:rFonts w:ascii="Times New Roman" w:eastAsia="Calibri" w:hAnsi="Times New Roman" w:cs="Times New Roman"/>
          <w:bCs/>
          <w:iCs/>
          <w:kern w:val="0"/>
          <w:lang w:eastAsia="en-US" w:bidi="ar-SA"/>
        </w:rPr>
        <w:t xml:space="preserve">   </w:t>
      </w:r>
      <w:r w:rsidRPr="002F4E52">
        <w:rPr>
          <w:rFonts w:ascii="Times New Roman" w:eastAsia="Calibri" w:hAnsi="Times New Roman" w:cs="Times New Roman"/>
          <w:bCs/>
          <w:iCs/>
          <w:kern w:val="0"/>
          <w:lang w:eastAsia="en-US" w:bidi="ar-SA"/>
        </w:rPr>
        <w:t>(herpetologa)</w:t>
      </w:r>
      <w:r w:rsidR="003E5E1D" w:rsidRPr="002F4E52">
        <w:rPr>
          <w:rFonts w:ascii="Times New Roman" w:eastAsia="Calibri" w:hAnsi="Times New Roman" w:cs="Times New Roman"/>
          <w:bCs/>
          <w:iCs/>
          <w:kern w:val="0"/>
          <w:lang w:eastAsia="en-US" w:bidi="ar-SA"/>
        </w:rPr>
        <w:t xml:space="preserve">; </w:t>
      </w:r>
    </w:p>
    <w:p w:rsidR="00703777" w:rsidRPr="00D52C5E" w:rsidRDefault="004A71B9" w:rsidP="00976C4C">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D52C5E">
        <w:rPr>
          <w:rFonts w:ascii="Times New Roman" w:eastAsia="Calibri" w:hAnsi="Times New Roman" w:cs="Times New Roman"/>
          <w:bCs/>
          <w:iCs/>
          <w:kern w:val="0"/>
          <w:lang w:eastAsia="en-US" w:bidi="ar-SA"/>
        </w:rPr>
        <w:t xml:space="preserve">z obszaru planowanych robót ziemnych obejmujących </w:t>
      </w:r>
      <w:r w:rsidR="00D52C5E" w:rsidRPr="00D52C5E">
        <w:rPr>
          <w:rFonts w:ascii="Times New Roman" w:eastAsia="Calibri" w:hAnsi="Times New Roman" w:cs="Times New Roman"/>
          <w:bCs/>
          <w:iCs/>
          <w:kern w:val="0"/>
          <w:lang w:eastAsia="en-US" w:bidi="ar-SA"/>
        </w:rPr>
        <w:t xml:space="preserve">obecnie powierzchnie biologicznie czynne, wierzchnią warstwę gleby o miąższości ok. 30 cm należy zdejmować                 jednokierunkowo, a następnie składować w niewielkich pryzmach (do 1,5 m wysokości) wzdłuż granic terenu zamierzenia oraz wykorzystać możliwie w największym stopniu po </w:t>
      </w:r>
      <w:r w:rsidR="00D52C5E" w:rsidRPr="00D52C5E">
        <w:rPr>
          <w:rFonts w:ascii="Times New Roman" w:eastAsia="Calibri" w:hAnsi="Times New Roman" w:cs="Times New Roman"/>
          <w:bCs/>
          <w:iCs/>
          <w:kern w:val="0"/>
          <w:lang w:eastAsia="en-US" w:bidi="ar-SA"/>
        </w:rPr>
        <w:lastRenderedPageBreak/>
        <w:t>zakończeniu prac na terenie inwestycji do stworzenia stałej obudowy biologicznej       przekształconych powierzchni występujących w sąsiedztwie nowych i przebudowywanych obiektów kubaturowych i powierzchni utwardzonych; zidentyfikowanym osobnikom      żyjącym w przypowierzchniowej warstwie gleby należy umożliwić ewakuację, a w razie potrzeby dokonać ich przeniesienia poza teren prowadzenia prac na stanowiska zastępcze dające im możliwość dalszej egzystencji</w:t>
      </w:r>
      <w:r w:rsidR="003E5E1D" w:rsidRPr="00D52C5E">
        <w:rPr>
          <w:rFonts w:ascii="Times New Roman" w:eastAsia="Calibri" w:hAnsi="Times New Roman" w:cs="Times New Roman"/>
          <w:bCs/>
          <w:iCs/>
          <w:kern w:val="0"/>
          <w:lang w:eastAsia="en-US" w:bidi="ar-SA"/>
        </w:rPr>
        <w:t xml:space="preserve">; </w:t>
      </w:r>
    </w:p>
    <w:p w:rsidR="00703777" w:rsidRPr="00D52C5E" w:rsidRDefault="00D52C5E" w:rsidP="00976C4C">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D52C5E">
        <w:rPr>
          <w:rFonts w:ascii="Times New Roman" w:eastAsia="Calibri" w:hAnsi="Times New Roman" w:cs="Times New Roman"/>
          <w:bCs/>
          <w:iCs/>
          <w:kern w:val="0"/>
          <w:lang w:eastAsia="en-US" w:bidi="ar-SA"/>
        </w:rPr>
        <w:t>zaplecze budowy oraz bazy materiałowej i paliwowej ( w szczególności miejsca postoju i konserwacji maszyn budowlanych oraz środków transportu) należy zlokalizować na         terenie utwardzonym wyposażonym w kanalizację deszczową zabezpieczającą grunt i    wody gruntowe przed przedostaniem się zanieczyszczeń (np. substancji ropopochodnych)</w:t>
      </w:r>
      <w:r w:rsidR="003E5E1D" w:rsidRPr="00D52C5E">
        <w:rPr>
          <w:rFonts w:ascii="Times New Roman" w:eastAsia="Calibri" w:hAnsi="Times New Roman" w:cs="Times New Roman"/>
          <w:bCs/>
          <w:iCs/>
          <w:kern w:val="0"/>
          <w:lang w:eastAsia="en-US" w:bidi="ar-SA"/>
        </w:rPr>
        <w:t>;</w:t>
      </w:r>
    </w:p>
    <w:p w:rsidR="00703777" w:rsidRPr="00F36C89" w:rsidRDefault="00D52C5E" w:rsidP="00EE76F2">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F36C89">
        <w:rPr>
          <w:rFonts w:ascii="Times New Roman" w:eastAsia="Calibri" w:hAnsi="Times New Roman" w:cs="Times New Roman"/>
          <w:bCs/>
          <w:iCs/>
          <w:kern w:val="0"/>
          <w:lang w:eastAsia="en-US" w:bidi="ar-SA"/>
        </w:rPr>
        <w:t>w trakcie robót bud</w:t>
      </w:r>
      <w:r w:rsidR="00F36C89" w:rsidRPr="00F36C89">
        <w:rPr>
          <w:rFonts w:ascii="Times New Roman" w:eastAsia="Calibri" w:hAnsi="Times New Roman" w:cs="Times New Roman"/>
          <w:bCs/>
          <w:iCs/>
          <w:kern w:val="0"/>
          <w:lang w:eastAsia="en-US" w:bidi="ar-SA"/>
        </w:rPr>
        <w:t>owlanych należy zapewnić ochronę pni, koron i systemów               korzeniowych drzew i krzewów przeznaczonych do adaptacji oraz występujących w       sąsiedztwie terenu inwestycji, zgodnie ze sztuka ogrodniczą; zabezpieczenie drzew należy prowadzić pod nadzorem przyrodniczym dendrologicznym</w:t>
      </w:r>
      <w:r w:rsidR="003E5E1D" w:rsidRPr="00F36C89">
        <w:rPr>
          <w:rFonts w:ascii="Times New Roman" w:eastAsia="Calibri" w:hAnsi="Times New Roman" w:cs="Times New Roman"/>
          <w:bCs/>
          <w:iCs/>
          <w:kern w:val="0"/>
          <w:lang w:eastAsia="en-US" w:bidi="ar-SA"/>
        </w:rPr>
        <w:t xml:space="preserve">; </w:t>
      </w:r>
    </w:p>
    <w:p w:rsidR="00703777" w:rsidRPr="00F36C89" w:rsidRDefault="00F36C89" w:rsidP="00EE76F2">
      <w:pPr>
        <w:widowControl/>
        <w:numPr>
          <w:ilvl w:val="1"/>
          <w:numId w:val="19"/>
        </w:numPr>
        <w:suppressAutoHyphens w:val="0"/>
        <w:spacing w:line="252" w:lineRule="auto"/>
        <w:ind w:left="284" w:hanging="284"/>
        <w:jc w:val="both"/>
        <w:textAlignment w:val="auto"/>
        <w:rPr>
          <w:rFonts w:ascii="Times New Roman" w:eastAsia="Calibri" w:hAnsi="Times New Roman" w:cs="Times New Roman"/>
          <w:bCs/>
          <w:iCs/>
          <w:kern w:val="0"/>
          <w:lang w:eastAsia="en-US" w:bidi="ar-SA"/>
        </w:rPr>
      </w:pPr>
      <w:r w:rsidRPr="00F36C89">
        <w:rPr>
          <w:rFonts w:ascii="Times New Roman" w:eastAsia="Calibri" w:hAnsi="Times New Roman" w:cs="Times New Roman"/>
          <w:bCs/>
          <w:iCs/>
          <w:kern w:val="0"/>
          <w:lang w:eastAsia="en-US" w:bidi="ar-SA"/>
        </w:rPr>
        <w:t>planowane obiekty kubaturowe powinny odznaczać się stonowaną kolorystyką, np. w    odcieniach szarości</w:t>
      </w:r>
      <w:r w:rsidR="003E5E1D" w:rsidRPr="00F36C89">
        <w:rPr>
          <w:rFonts w:ascii="Times New Roman" w:eastAsia="Calibri" w:hAnsi="Times New Roman" w:cs="Times New Roman"/>
          <w:bCs/>
          <w:iCs/>
          <w:kern w:val="0"/>
          <w:lang w:eastAsia="en-US" w:bidi="ar-SA"/>
        </w:rPr>
        <w:t>;</w:t>
      </w:r>
    </w:p>
    <w:p w:rsidR="00703777" w:rsidRDefault="00F36C89" w:rsidP="00EE76F2">
      <w:pPr>
        <w:widowControl/>
        <w:numPr>
          <w:ilvl w:val="1"/>
          <w:numId w:val="19"/>
        </w:numPr>
        <w:suppressAutoHyphens w:val="0"/>
        <w:ind w:left="284" w:hanging="284"/>
        <w:jc w:val="both"/>
        <w:textAlignment w:val="auto"/>
        <w:rPr>
          <w:rFonts w:ascii="Times New Roman" w:eastAsia="Calibri" w:hAnsi="Times New Roman" w:cs="Times New Roman"/>
          <w:bCs/>
          <w:iCs/>
          <w:kern w:val="0"/>
          <w:lang w:eastAsia="en-US" w:bidi="ar-SA"/>
        </w:rPr>
      </w:pPr>
      <w:r w:rsidRPr="00C15DEC">
        <w:rPr>
          <w:rFonts w:ascii="Times New Roman" w:eastAsia="Calibri" w:hAnsi="Times New Roman" w:cs="Times New Roman"/>
          <w:bCs/>
          <w:iCs/>
          <w:kern w:val="0"/>
          <w:lang w:eastAsia="en-US" w:bidi="ar-SA"/>
        </w:rPr>
        <w:t xml:space="preserve">na placu budowy, a następnie podczas eksploatacji inwestycji należy stosować oświetlenie zewnętrzne dające tzw. „ciepłe” widmo świetlne (np. lampy sodowe), ograniczające </w:t>
      </w:r>
      <w:r w:rsidR="00C15DEC">
        <w:rPr>
          <w:rFonts w:ascii="Times New Roman" w:eastAsia="Calibri" w:hAnsi="Times New Roman" w:cs="Times New Roman"/>
          <w:bCs/>
          <w:iCs/>
          <w:kern w:val="0"/>
          <w:lang w:eastAsia="en-US" w:bidi="ar-SA"/>
        </w:rPr>
        <w:t xml:space="preserve">  </w:t>
      </w:r>
      <w:r w:rsidRPr="00C15DEC">
        <w:rPr>
          <w:rFonts w:ascii="Times New Roman" w:eastAsia="Calibri" w:hAnsi="Times New Roman" w:cs="Times New Roman"/>
          <w:bCs/>
          <w:iCs/>
          <w:kern w:val="0"/>
          <w:lang w:eastAsia="en-US" w:bidi="ar-SA"/>
        </w:rPr>
        <w:t xml:space="preserve">przywabianie owadów nocą; bezwzględnie należy stosować szczelne obudowy lamp, uniemożliwiające owadom kontakt z rozżarzoną żarówką; intensywność oświetlenia </w:t>
      </w:r>
      <w:r w:rsidR="00C15DEC">
        <w:rPr>
          <w:rFonts w:ascii="Times New Roman" w:eastAsia="Calibri" w:hAnsi="Times New Roman" w:cs="Times New Roman"/>
          <w:bCs/>
          <w:iCs/>
          <w:kern w:val="0"/>
          <w:lang w:eastAsia="en-US" w:bidi="ar-SA"/>
        </w:rPr>
        <w:t xml:space="preserve">      </w:t>
      </w:r>
      <w:r w:rsidRPr="00C15DEC">
        <w:rPr>
          <w:rFonts w:ascii="Times New Roman" w:eastAsia="Calibri" w:hAnsi="Times New Roman" w:cs="Times New Roman"/>
          <w:bCs/>
          <w:iCs/>
          <w:kern w:val="0"/>
          <w:lang w:eastAsia="en-US" w:bidi="ar-SA"/>
        </w:rPr>
        <w:t xml:space="preserve">zewnętrznego i wewnętrznego na etapie eksploatacji inwestycji dostosować do </w:t>
      </w:r>
      <w:r w:rsidR="00C15DEC">
        <w:rPr>
          <w:rFonts w:ascii="Times New Roman" w:eastAsia="Calibri" w:hAnsi="Times New Roman" w:cs="Times New Roman"/>
          <w:bCs/>
          <w:iCs/>
          <w:kern w:val="0"/>
          <w:lang w:eastAsia="en-US" w:bidi="ar-SA"/>
        </w:rPr>
        <w:t xml:space="preserve">             </w:t>
      </w:r>
      <w:r w:rsidRPr="00C15DEC">
        <w:rPr>
          <w:rFonts w:ascii="Times New Roman" w:eastAsia="Calibri" w:hAnsi="Times New Roman" w:cs="Times New Roman"/>
          <w:bCs/>
          <w:iCs/>
          <w:kern w:val="0"/>
          <w:lang w:eastAsia="en-US" w:bidi="ar-SA"/>
        </w:rPr>
        <w:t>faktycznych potrzeb; do oświetlenia zewnętrznego (np. budynków, ciągów pieszych</w:t>
      </w:r>
      <w:r w:rsidR="00C15DEC" w:rsidRPr="00C15DEC">
        <w:rPr>
          <w:rFonts w:ascii="Times New Roman" w:eastAsia="Calibri" w:hAnsi="Times New Roman" w:cs="Times New Roman"/>
          <w:bCs/>
          <w:iCs/>
          <w:kern w:val="0"/>
          <w:lang w:eastAsia="en-US" w:bidi="ar-SA"/>
        </w:rPr>
        <w:t xml:space="preserve"> i jezdnych, placów manewrowych i parkingów) zastosować źródła światła o możliwie </w:t>
      </w:r>
      <w:r w:rsidR="00C15DEC">
        <w:rPr>
          <w:rFonts w:ascii="Times New Roman" w:eastAsia="Calibri" w:hAnsi="Times New Roman" w:cs="Times New Roman"/>
          <w:bCs/>
          <w:iCs/>
          <w:kern w:val="0"/>
          <w:lang w:eastAsia="en-US" w:bidi="ar-SA"/>
        </w:rPr>
        <w:t xml:space="preserve">   </w:t>
      </w:r>
      <w:r w:rsidR="00C15DEC" w:rsidRPr="00C15DEC">
        <w:rPr>
          <w:rFonts w:ascii="Times New Roman" w:eastAsia="Calibri" w:hAnsi="Times New Roman" w:cs="Times New Roman"/>
          <w:bCs/>
          <w:iCs/>
          <w:kern w:val="0"/>
          <w:lang w:eastAsia="en-US" w:bidi="ar-SA"/>
        </w:rPr>
        <w:t>najmniejszej mocy i najmniejszej emisji; zastosować oprawy oświetleniowe o minimalnej mocy wystarczającej do spełnienia wymaganych parametrów oświetlenia, z kloszem umożliwiającym minimalizację emisji światła wstecznego poza obręb ww. obiektów,</w:t>
      </w:r>
      <w:r w:rsidR="00C15DEC">
        <w:rPr>
          <w:rFonts w:ascii="Times New Roman" w:eastAsia="Calibri" w:hAnsi="Times New Roman" w:cs="Times New Roman"/>
          <w:bCs/>
          <w:iCs/>
          <w:kern w:val="0"/>
          <w:lang w:eastAsia="en-US" w:bidi="ar-SA"/>
        </w:rPr>
        <w:t xml:space="preserve">  </w:t>
      </w:r>
      <w:r w:rsidR="00C15DEC" w:rsidRPr="00C15DEC">
        <w:rPr>
          <w:rFonts w:ascii="Times New Roman" w:eastAsia="Calibri" w:hAnsi="Times New Roman" w:cs="Times New Roman"/>
          <w:bCs/>
          <w:iCs/>
          <w:kern w:val="0"/>
          <w:lang w:eastAsia="en-US" w:bidi="ar-SA"/>
        </w:rPr>
        <w:t xml:space="preserve"> </w:t>
      </w:r>
      <w:r w:rsidR="00C15DEC" w:rsidRPr="008856E4">
        <w:rPr>
          <w:rFonts w:ascii="Times New Roman" w:eastAsia="Calibri" w:hAnsi="Times New Roman" w:cs="Times New Roman"/>
          <w:bCs/>
          <w:iCs/>
          <w:kern w:val="0"/>
          <w:lang w:eastAsia="en-US" w:bidi="ar-SA"/>
        </w:rPr>
        <w:t>ukierunkowującym do rozmiaru oświetlenia obiektu lub powierzchni; eksponowane   obiekty lub miejsca oświetlać z góry</w:t>
      </w:r>
      <w:r w:rsidR="00EE76F2">
        <w:rPr>
          <w:rFonts w:ascii="Times New Roman" w:eastAsia="Calibri" w:hAnsi="Times New Roman" w:cs="Times New Roman"/>
          <w:bCs/>
          <w:iCs/>
          <w:kern w:val="0"/>
          <w:lang w:eastAsia="en-US" w:bidi="ar-SA"/>
        </w:rPr>
        <w:t>.</w:t>
      </w:r>
    </w:p>
    <w:p w:rsidR="00EE76F2" w:rsidRPr="00EE76F2" w:rsidRDefault="00EE76F2" w:rsidP="00EE76F2">
      <w:pPr>
        <w:widowControl/>
        <w:suppressAutoHyphens w:val="0"/>
        <w:ind w:left="284"/>
        <w:jc w:val="both"/>
        <w:textAlignment w:val="auto"/>
        <w:rPr>
          <w:rFonts w:ascii="Times New Roman" w:eastAsia="Calibri" w:hAnsi="Times New Roman" w:cs="Times New Roman"/>
          <w:bCs/>
          <w:iCs/>
          <w:kern w:val="0"/>
          <w:lang w:eastAsia="en-US" w:bidi="ar-SA"/>
        </w:rPr>
      </w:pPr>
    </w:p>
    <w:p w:rsidR="00A71F3A" w:rsidRPr="00EE76F2" w:rsidRDefault="00A71F3A" w:rsidP="00E91964">
      <w:pPr>
        <w:pStyle w:val="Akapitzlist"/>
        <w:widowControl/>
        <w:suppressAutoHyphens w:val="0"/>
        <w:spacing w:after="160" w:line="251" w:lineRule="auto"/>
        <w:ind w:left="0"/>
        <w:jc w:val="both"/>
        <w:textAlignment w:val="auto"/>
        <w:rPr>
          <w:rFonts w:ascii="Times New Roman" w:eastAsia="Calibri" w:hAnsi="Times New Roman" w:cs="Times New Roman"/>
          <w:bCs/>
          <w:iCs/>
          <w:kern w:val="0"/>
          <w:lang w:eastAsia="en-US" w:bidi="ar-SA"/>
        </w:rPr>
      </w:pPr>
      <w:r w:rsidRPr="00EE76F2">
        <w:rPr>
          <w:rFonts w:ascii="Times New Roman" w:eastAsia="Calibri" w:hAnsi="Times New Roman" w:cs="Times New Roman"/>
          <w:bCs/>
          <w:iCs/>
          <w:kern w:val="0"/>
          <w:lang w:eastAsia="en-US" w:bidi="ar-SA"/>
        </w:rPr>
        <w:t xml:space="preserve">Dodatkowo </w:t>
      </w:r>
      <w:r w:rsidR="00CC4365">
        <w:rPr>
          <w:rFonts w:ascii="Times New Roman" w:eastAsia="Calibri" w:hAnsi="Times New Roman" w:cs="Times New Roman"/>
          <w:bCs/>
          <w:iCs/>
          <w:kern w:val="0"/>
          <w:lang w:eastAsia="en-US" w:bidi="ar-SA"/>
        </w:rPr>
        <w:t xml:space="preserve">środowiskowy </w:t>
      </w:r>
      <w:r w:rsidRPr="00EE76F2">
        <w:rPr>
          <w:rFonts w:ascii="Times New Roman" w:eastAsia="Calibri" w:hAnsi="Times New Roman" w:cs="Times New Roman"/>
          <w:bCs/>
          <w:iCs/>
          <w:kern w:val="0"/>
          <w:lang w:eastAsia="en-US" w:bidi="ar-SA"/>
        </w:rPr>
        <w:t>organ na</w:t>
      </w:r>
      <w:r w:rsidR="00CC4365">
        <w:rPr>
          <w:rFonts w:ascii="Times New Roman" w:eastAsia="Calibri" w:hAnsi="Times New Roman" w:cs="Times New Roman"/>
          <w:bCs/>
          <w:iCs/>
          <w:kern w:val="0"/>
          <w:lang w:eastAsia="en-US" w:bidi="ar-SA"/>
        </w:rPr>
        <w:t>łożył</w:t>
      </w:r>
      <w:r w:rsidRPr="00EE76F2">
        <w:rPr>
          <w:rFonts w:ascii="Times New Roman" w:eastAsia="Calibri" w:hAnsi="Times New Roman" w:cs="Times New Roman"/>
          <w:bCs/>
          <w:iCs/>
          <w:kern w:val="0"/>
          <w:lang w:eastAsia="en-US" w:bidi="ar-SA"/>
        </w:rPr>
        <w:t xml:space="preserve"> obowiązek działań, o których mowa w art. 82 ust. 1 pkt 2 lit. b ustawy OOŚ </w:t>
      </w:r>
      <w:r w:rsidR="00366680" w:rsidRPr="00EE76F2">
        <w:rPr>
          <w:rFonts w:ascii="Times New Roman" w:eastAsia="Calibri" w:hAnsi="Times New Roman" w:cs="Times New Roman"/>
          <w:bCs/>
          <w:iCs/>
          <w:kern w:val="0"/>
          <w:lang w:eastAsia="en-US" w:bidi="ar-SA"/>
        </w:rPr>
        <w:t>z uwzględnieniem następujących elementów:</w:t>
      </w:r>
    </w:p>
    <w:p w:rsidR="00366680" w:rsidRPr="00EE76F2" w:rsidRDefault="00366680" w:rsidP="00EE76F2">
      <w:pPr>
        <w:pStyle w:val="Akapitzlist"/>
        <w:widowControl/>
        <w:numPr>
          <w:ilvl w:val="0"/>
          <w:numId w:val="39"/>
        </w:numPr>
        <w:suppressAutoHyphens w:val="0"/>
        <w:spacing w:line="252" w:lineRule="auto"/>
        <w:ind w:left="567" w:hanging="425"/>
        <w:textAlignment w:val="auto"/>
        <w:rPr>
          <w:rFonts w:ascii="Times New Roman" w:hAnsi="Times New Roman" w:cs="Times New Roman"/>
        </w:rPr>
      </w:pPr>
      <w:r w:rsidRPr="00EE76F2">
        <w:rPr>
          <w:rFonts w:ascii="Times New Roman" w:eastAsia="Calibri" w:hAnsi="Times New Roman" w:cs="Times New Roman"/>
          <w:bCs/>
          <w:iCs/>
          <w:kern w:val="0"/>
          <w:lang w:eastAsia="en-US" w:bidi="ar-SA"/>
        </w:rPr>
        <w:t xml:space="preserve">przestrzegać odpowiedniej i terminowej konserwacji maszyn i sprzętu budowlanego, co zapobiega wyciekom paliw, olejów lub innych płynów eksploatacyjnych, a tym samym zapobiega przedostaniu się ich do gleby lub wód podziemnych; </w:t>
      </w:r>
    </w:p>
    <w:p w:rsidR="00366680" w:rsidRPr="00EE76F2" w:rsidRDefault="00366680" w:rsidP="00EE76F2">
      <w:pPr>
        <w:pStyle w:val="Akapitzlist"/>
        <w:widowControl/>
        <w:numPr>
          <w:ilvl w:val="0"/>
          <w:numId w:val="39"/>
        </w:numPr>
        <w:suppressAutoHyphens w:val="0"/>
        <w:spacing w:line="252" w:lineRule="auto"/>
        <w:ind w:left="567" w:hanging="425"/>
        <w:textAlignment w:val="auto"/>
        <w:rPr>
          <w:rFonts w:ascii="Times New Roman" w:hAnsi="Times New Roman" w:cs="Times New Roman"/>
        </w:rPr>
      </w:pPr>
      <w:r w:rsidRPr="00EE76F2">
        <w:rPr>
          <w:rFonts w:ascii="Times New Roman" w:hAnsi="Times New Roman" w:cs="Times New Roman"/>
        </w:rPr>
        <w:t>zaplecze budowy, a w szczególności miejsca postoju pojazdów i maszyn, zabezpieczyć przed przedostaniem się substancji ropopochodnych do gruntu i wód;</w:t>
      </w:r>
    </w:p>
    <w:p w:rsidR="00366680" w:rsidRPr="00EE76F2" w:rsidRDefault="008856E4"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t</w:t>
      </w:r>
      <w:r w:rsidR="00366680" w:rsidRPr="00EE76F2">
        <w:rPr>
          <w:rFonts w:ascii="Times New Roman" w:hAnsi="Times New Roman" w:cs="Times New Roman"/>
        </w:rPr>
        <w:t xml:space="preserve">eren inwestycji zabezpieczyć przed możliwością awaryjnego wycieku paliwa i smarów poprzez zapewnienie  stanowiska </w:t>
      </w:r>
      <w:r w:rsidRPr="00EE76F2">
        <w:rPr>
          <w:rFonts w:ascii="Times New Roman" w:hAnsi="Times New Roman" w:cs="Times New Roman"/>
        </w:rPr>
        <w:t>z sorbentem służącym do likwidacji powstałych     wycieków i wylewów substancji ropopochodnych;</w:t>
      </w:r>
    </w:p>
    <w:p w:rsidR="008856E4" w:rsidRPr="00EE76F2" w:rsidRDefault="008856E4"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natychmiastowo usuwać zanieczyszczony grunt w przypadku awarii w celu                 zabezpieczenia środowiska wodno-gruntowego przed zanieczyszczeniami;</w:t>
      </w:r>
    </w:p>
    <w:p w:rsidR="008856E4" w:rsidRPr="00EE76F2" w:rsidRDefault="008856E4"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prace ziemne wykonać w okresach o małym nasileniu opadów atmosferycznych oraz chronić  wykopy przed tworzeniem się w nich zastoisk;</w:t>
      </w:r>
    </w:p>
    <w:p w:rsidR="008856E4" w:rsidRPr="00EE76F2" w:rsidRDefault="008856E4"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wykonywać odwodnienie w technologii ograniczającej dopływ wód gruntowych do wykopu;</w:t>
      </w:r>
    </w:p>
    <w:p w:rsidR="008856E4" w:rsidRPr="00EE76F2" w:rsidRDefault="008856E4"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lastRenderedPageBreak/>
        <w:t>w przypadku odprowadzania wód z odwodnienia wykopów na terenie przedsięwzięcia, zagospodarować wody z odwodnienia bez zlewania terenów przyległych;</w:t>
      </w:r>
    </w:p>
    <w:p w:rsidR="008856E4" w:rsidRPr="00EE76F2" w:rsidRDefault="008856E4"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przygotować miejsce do selektywnej zbiórki odpadów i odpowiednio zabezpieczyć</w:t>
      </w:r>
      <w:r w:rsidR="000601CA" w:rsidRPr="00EE76F2">
        <w:rPr>
          <w:rFonts w:ascii="Times New Roman" w:hAnsi="Times New Roman" w:cs="Times New Roman"/>
        </w:rPr>
        <w:t xml:space="preserve">   </w:t>
      </w:r>
      <w:r w:rsidRPr="00EE76F2">
        <w:rPr>
          <w:rFonts w:ascii="Times New Roman" w:hAnsi="Times New Roman" w:cs="Times New Roman"/>
        </w:rPr>
        <w:t xml:space="preserve"> odpady przed </w:t>
      </w:r>
      <w:r w:rsidR="000601CA" w:rsidRPr="00EE76F2">
        <w:rPr>
          <w:rFonts w:ascii="Times New Roman" w:hAnsi="Times New Roman" w:cs="Times New Roman"/>
        </w:rPr>
        <w:t>wpływem czynników atmosferycznych, w sposób uniemożliwiający   przedostawanie się zanieczyszczeń (odcieków) do środowiska wodno-gruntowego;</w:t>
      </w:r>
    </w:p>
    <w:p w:rsidR="000601CA" w:rsidRPr="00EE76F2" w:rsidRDefault="000601CA"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na etapie realizacji inwestycji dostarczać wodę z przyłącza do lokalnej sieci                wodociągowej, w beczkowozach lub zbiornikach;</w:t>
      </w:r>
    </w:p>
    <w:p w:rsidR="000601CA" w:rsidRPr="00EE76F2" w:rsidRDefault="000601CA"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na etapie eksploatacji wodę pobierać z lokalnej sieci wodociągowej na podstawie   umowy z gestorem sieci;</w:t>
      </w:r>
    </w:p>
    <w:p w:rsidR="000601CA" w:rsidRPr="00EE76F2" w:rsidRDefault="000601CA"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racjonalnie gospodarować wodą;</w:t>
      </w:r>
    </w:p>
    <w:p w:rsidR="000601CA" w:rsidRPr="00EE76F2" w:rsidRDefault="000601CA"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na etapie realizacji odprowadzać ścieki socjalno-bytowe do szczelnych przenośnych zbiorników bezodpływowych lub zaopatrzyć w odpowiednią ilość przenośnych       urządzeń sanitarnych, z których ścieki będą  wywożone przez uprawnione firmy na podstawie stosownej umowy;</w:t>
      </w:r>
    </w:p>
    <w:p w:rsidR="000601CA" w:rsidRPr="00EE76F2" w:rsidRDefault="000601CA"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na etapie eksploatacji ścieki socjalno-bytowe odprowadzać do sieci kanalizacji sanita</w:t>
      </w:r>
      <w:r w:rsidRPr="00EE76F2">
        <w:rPr>
          <w:rFonts w:ascii="Times New Roman" w:hAnsi="Times New Roman" w:cs="Times New Roman"/>
        </w:rPr>
        <w:t>r</w:t>
      </w:r>
      <w:r w:rsidRPr="00EE76F2">
        <w:rPr>
          <w:rFonts w:ascii="Times New Roman" w:hAnsi="Times New Roman" w:cs="Times New Roman"/>
        </w:rPr>
        <w:t>nej na podstawie umowy z gestorem sieci;</w:t>
      </w:r>
    </w:p>
    <w:p w:rsidR="000601CA" w:rsidRPr="00EE76F2" w:rsidRDefault="000601CA"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wody opadowe i roztopowe z terenów parkingów i placów manewrowych podczyszczać w separatorach substancji ropopochodnych</w:t>
      </w:r>
      <w:r w:rsidR="00EE76F2" w:rsidRPr="00EE76F2">
        <w:rPr>
          <w:rFonts w:ascii="Times New Roman" w:hAnsi="Times New Roman" w:cs="Times New Roman"/>
        </w:rPr>
        <w:t xml:space="preserve"> oraz osadniku;</w:t>
      </w:r>
    </w:p>
    <w:p w:rsidR="00EE76F2" w:rsidRPr="00296E53" w:rsidRDefault="00EE76F2"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EE76F2">
        <w:rPr>
          <w:rFonts w:ascii="Times New Roman" w:hAnsi="Times New Roman" w:cs="Times New Roman"/>
        </w:rPr>
        <w:t xml:space="preserve">wody opadowe i roztopowe odprowadzać poprzez system kanalizacji deszczowej do </w:t>
      </w:r>
      <w:r w:rsidRPr="00296E53">
        <w:rPr>
          <w:rFonts w:ascii="Times New Roman" w:hAnsi="Times New Roman" w:cs="Times New Roman"/>
        </w:rPr>
        <w:t>istniejących zbiorników pogliniankowych zgodnie z obowiązującym pozwoleniem wodnoprawnym, nie powodując zalewania terenów przyległych;</w:t>
      </w:r>
    </w:p>
    <w:p w:rsidR="00EE76F2" w:rsidRPr="00296E53" w:rsidRDefault="00EE76F2" w:rsidP="00EE76F2">
      <w:pPr>
        <w:pStyle w:val="Akapitzlist"/>
        <w:widowControl/>
        <w:numPr>
          <w:ilvl w:val="0"/>
          <w:numId w:val="39"/>
        </w:numPr>
        <w:suppressAutoHyphens w:val="0"/>
        <w:spacing w:line="252" w:lineRule="auto"/>
        <w:ind w:left="567" w:hanging="425"/>
        <w:jc w:val="both"/>
        <w:textAlignment w:val="auto"/>
        <w:rPr>
          <w:rFonts w:ascii="Times New Roman" w:hAnsi="Times New Roman" w:cs="Times New Roman"/>
        </w:rPr>
      </w:pPr>
      <w:r w:rsidRPr="00296E53">
        <w:rPr>
          <w:rFonts w:ascii="Times New Roman" w:hAnsi="Times New Roman" w:cs="Times New Roman"/>
        </w:rPr>
        <w:t>wody opadowe i roztopowe odprowadzone do środowiska gruntowo-wodnego muszą spełniać warunki określone w rozporządzeniu Ministra Gospodarki Morskiej i Żeglugi Śródlądowej z dnia 12 lipca 2019 r. w sprawie substancji szczególnie szkodliwych dla środowiska wodnego oraz warunków, jakie należy spełnić przy wprowadzaniu do wód lub ziemi ścieków, a także przy odprowadzaniu wód opadowych lub roztopowych do wód lub urządzeń wodnych (Dz. U. z 2019 r. poz. 1311);</w:t>
      </w:r>
    </w:p>
    <w:p w:rsidR="00366680" w:rsidRPr="005A722A" w:rsidRDefault="00EE76F2" w:rsidP="00366680">
      <w:pPr>
        <w:pStyle w:val="Akapitzlist"/>
        <w:widowControl/>
        <w:numPr>
          <w:ilvl w:val="0"/>
          <w:numId w:val="39"/>
        </w:numPr>
        <w:suppressAutoHyphens w:val="0"/>
        <w:spacing w:after="160" w:line="251" w:lineRule="auto"/>
        <w:ind w:left="567" w:hanging="425"/>
        <w:jc w:val="both"/>
        <w:textAlignment w:val="auto"/>
        <w:rPr>
          <w:rFonts w:ascii="Times New Roman" w:hAnsi="Times New Roman" w:cs="Times New Roman"/>
        </w:rPr>
      </w:pPr>
      <w:r w:rsidRPr="00296E53">
        <w:rPr>
          <w:rFonts w:ascii="Times New Roman" w:hAnsi="Times New Roman" w:cs="Times New Roman"/>
        </w:rPr>
        <w:t>konserwować urządzenia podczyszczające poprzez zapewnienie serwisu ze strony sp</w:t>
      </w:r>
      <w:r w:rsidRPr="00296E53">
        <w:rPr>
          <w:rFonts w:ascii="Times New Roman" w:hAnsi="Times New Roman" w:cs="Times New Roman"/>
        </w:rPr>
        <w:t>e</w:t>
      </w:r>
      <w:r w:rsidRPr="00296E53">
        <w:rPr>
          <w:rFonts w:ascii="Times New Roman" w:hAnsi="Times New Roman" w:cs="Times New Roman"/>
        </w:rPr>
        <w:t xml:space="preserve">cjalistycznych i uprawnionych firm. </w:t>
      </w:r>
    </w:p>
    <w:p w:rsidR="00296E53" w:rsidRDefault="00AD3A51" w:rsidP="005A722A">
      <w:pPr>
        <w:pStyle w:val="Textbody"/>
        <w:spacing w:after="0"/>
        <w:ind w:left="6" w:firstLine="703"/>
        <w:jc w:val="both"/>
      </w:pPr>
      <w:r w:rsidRPr="000E6CE2">
        <w:t>Obszar oddziaływania obiektu, o którym mowa w art. 28 ust. 2 us</w:t>
      </w:r>
      <w:r w:rsidRPr="000E6CE2">
        <w:softHyphen/>
        <w:t>tawy - Prawo budowlane obejmuje nieruchomoś</w:t>
      </w:r>
      <w:r w:rsidR="00296E53">
        <w:t>ci</w:t>
      </w:r>
      <w:r>
        <w:t xml:space="preserve"> nr ew. </w:t>
      </w:r>
      <w:r w:rsidR="00296E53">
        <w:t>151/53, 151/13, 152/6, 151/2</w:t>
      </w:r>
      <w:r>
        <w:t xml:space="preserve"> </w:t>
      </w:r>
      <w:r w:rsidRPr="000E6CE2">
        <w:t xml:space="preserve">w obrębie ew. </w:t>
      </w:r>
      <w:r w:rsidR="00296E53">
        <w:t>0026 Łubna</w:t>
      </w:r>
      <w:r>
        <w:t xml:space="preserve"> </w:t>
      </w:r>
      <w:r w:rsidRPr="000E6CE2">
        <w:t xml:space="preserve"> w jednostce ewidencyjnej 14180</w:t>
      </w:r>
      <w:r w:rsidR="00296E53">
        <w:t>1_5 Góra kalwaria</w:t>
      </w:r>
      <w:r>
        <w:t xml:space="preserve">, </w:t>
      </w:r>
      <w:r w:rsidR="00296E53">
        <w:t>zatem organ dnia 31 sierpnia 2022 r. zgodnie z art. 61 § 4  k.p.a. zawiadomił inwestora oraz właścicieli ww. nieruchomości.</w:t>
      </w:r>
    </w:p>
    <w:p w:rsidR="00AD3A51" w:rsidRPr="001548AD" w:rsidRDefault="00AD3A51" w:rsidP="00296E53">
      <w:pPr>
        <w:pStyle w:val="Textbody"/>
        <w:spacing w:after="0"/>
        <w:ind w:left="6"/>
        <w:jc w:val="both"/>
      </w:pPr>
      <w:r w:rsidRPr="003356D3">
        <w:rPr>
          <w:color w:val="FF0000"/>
        </w:rPr>
        <w:tab/>
      </w:r>
      <w:r w:rsidRPr="001548AD">
        <w:t xml:space="preserve">Wobec stwierdzenia kompletności wniosku pod względem formalnym, dokonano sprawdzenia wniosku pod względem materialnoprawnym zgodnie z art. 35 ust. 1 ustawy                - Prawo budowlane </w:t>
      </w:r>
      <w:r w:rsidRPr="001548AD">
        <w:rPr>
          <w:bCs/>
        </w:rPr>
        <w:t>tj.:</w:t>
      </w:r>
    </w:p>
    <w:p w:rsidR="00AD3A51" w:rsidRPr="001548AD" w:rsidRDefault="00AD3A51" w:rsidP="00AD3A51">
      <w:pPr>
        <w:pStyle w:val="Akapitzlist"/>
        <w:numPr>
          <w:ilvl w:val="0"/>
          <w:numId w:val="34"/>
        </w:numPr>
        <w:suppressAutoHyphens w:val="0"/>
        <w:ind w:left="426"/>
        <w:jc w:val="both"/>
        <w:rPr>
          <w:rFonts w:ascii="Times New Roman" w:hAnsi="Times New Roman" w:cs="Times New Roman"/>
        </w:rPr>
      </w:pPr>
      <w:r w:rsidRPr="001548AD">
        <w:rPr>
          <w:rFonts w:ascii="Times New Roman" w:hAnsi="Times New Roman" w:cs="Times New Roman"/>
        </w:rPr>
        <w:t>zgodność projektu zagospodarowania działki lub terenu oraz projektu architektoniczno-budowlanego z:</w:t>
      </w:r>
    </w:p>
    <w:p w:rsidR="00AD3A51" w:rsidRPr="00E10112" w:rsidRDefault="00AD3A51" w:rsidP="00AD3A51">
      <w:pPr>
        <w:numPr>
          <w:ilvl w:val="0"/>
          <w:numId w:val="35"/>
        </w:numPr>
        <w:ind w:left="567" w:hanging="425"/>
        <w:jc w:val="both"/>
        <w:rPr>
          <w:rFonts w:ascii="Times New Roman" w:hAnsi="Times New Roman" w:cs="Times New Roman"/>
          <w:szCs w:val="21"/>
        </w:rPr>
      </w:pPr>
      <w:r w:rsidRPr="00E10112">
        <w:rPr>
          <w:rFonts w:ascii="Times New Roman" w:hAnsi="Times New Roman" w:cs="Times New Roman"/>
          <w:szCs w:val="21"/>
        </w:rPr>
        <w:t xml:space="preserve">ustaleniami miejscowego planu zagospodarowania przestrzennego </w:t>
      </w:r>
      <w:r w:rsidR="00296E53">
        <w:rPr>
          <w:rFonts w:ascii="Times New Roman" w:hAnsi="Times New Roman" w:cs="Times New Roman"/>
          <w:szCs w:val="21"/>
        </w:rPr>
        <w:t>dla fragmentu wsi Łubna rejon ulicy Podleśnej cz. I</w:t>
      </w:r>
      <w:r w:rsidRPr="00E10112">
        <w:rPr>
          <w:rFonts w:ascii="Times New Roman" w:hAnsi="Times New Roman" w:cs="Times New Roman"/>
          <w:szCs w:val="21"/>
        </w:rPr>
        <w:t xml:space="preserve">, zatwierdzonego uchwałą Nr </w:t>
      </w:r>
      <w:r w:rsidR="00296E53">
        <w:rPr>
          <w:rFonts w:ascii="Times New Roman" w:hAnsi="Times New Roman" w:cs="Times New Roman"/>
          <w:szCs w:val="21"/>
        </w:rPr>
        <w:t>LXXIII/659/2022</w:t>
      </w:r>
      <w:r w:rsidRPr="00E10112">
        <w:rPr>
          <w:rFonts w:ascii="Times New Roman" w:hAnsi="Times New Roman" w:cs="Times New Roman"/>
          <w:szCs w:val="21"/>
        </w:rPr>
        <w:t xml:space="preserve"> Rady </w:t>
      </w:r>
      <w:r>
        <w:rPr>
          <w:rFonts w:ascii="Times New Roman" w:hAnsi="Times New Roman" w:cs="Times New Roman"/>
          <w:szCs w:val="21"/>
        </w:rPr>
        <w:t xml:space="preserve">Miejskiej </w:t>
      </w:r>
      <w:r w:rsidR="00296E53">
        <w:rPr>
          <w:rFonts w:ascii="Times New Roman" w:hAnsi="Times New Roman" w:cs="Times New Roman"/>
          <w:szCs w:val="21"/>
        </w:rPr>
        <w:t>Góry Kalwarii</w:t>
      </w:r>
      <w:r w:rsidRPr="00E10112">
        <w:rPr>
          <w:rFonts w:ascii="Times New Roman" w:hAnsi="Times New Roman" w:cs="Times New Roman"/>
          <w:szCs w:val="21"/>
        </w:rPr>
        <w:t xml:space="preserve"> z dnia </w:t>
      </w:r>
      <w:r w:rsidR="00296E53">
        <w:rPr>
          <w:rFonts w:ascii="Times New Roman" w:hAnsi="Times New Roman" w:cs="Times New Roman"/>
          <w:szCs w:val="21"/>
        </w:rPr>
        <w:t>25 maja 2022</w:t>
      </w:r>
      <w:r w:rsidRPr="00E10112">
        <w:rPr>
          <w:rFonts w:ascii="Times New Roman" w:hAnsi="Times New Roman" w:cs="Times New Roman"/>
          <w:szCs w:val="21"/>
        </w:rPr>
        <w:t xml:space="preserve"> r. (Dz. Urz. Woj. Maz.</w:t>
      </w:r>
      <w:r w:rsidR="00296E53">
        <w:rPr>
          <w:rFonts w:ascii="Times New Roman" w:hAnsi="Times New Roman" w:cs="Times New Roman"/>
          <w:szCs w:val="21"/>
        </w:rPr>
        <w:t xml:space="preserve"> Z 2022 r.</w:t>
      </w:r>
      <w:r w:rsidRPr="00E10112">
        <w:rPr>
          <w:rFonts w:ascii="Times New Roman" w:hAnsi="Times New Roman" w:cs="Times New Roman"/>
          <w:szCs w:val="21"/>
        </w:rPr>
        <w:t>, poz.</w:t>
      </w:r>
      <w:r>
        <w:rPr>
          <w:rFonts w:ascii="Times New Roman" w:hAnsi="Times New Roman" w:cs="Times New Roman"/>
          <w:szCs w:val="21"/>
        </w:rPr>
        <w:t xml:space="preserve"> </w:t>
      </w:r>
      <w:r w:rsidR="00296E53">
        <w:rPr>
          <w:rFonts w:ascii="Times New Roman" w:hAnsi="Times New Roman" w:cs="Times New Roman"/>
          <w:szCs w:val="21"/>
        </w:rPr>
        <w:t>6229</w:t>
      </w:r>
      <w:r w:rsidRPr="00E10112">
        <w:rPr>
          <w:rFonts w:ascii="Times New Roman" w:hAnsi="Times New Roman" w:cs="Times New Roman"/>
          <w:szCs w:val="21"/>
        </w:rPr>
        <w:t xml:space="preserve">), gdzie teren inwestycji przeznaczono </w:t>
      </w:r>
      <w:r>
        <w:rPr>
          <w:rFonts w:ascii="Times New Roman" w:hAnsi="Times New Roman" w:cs="Times New Roman"/>
          <w:szCs w:val="21"/>
        </w:rPr>
        <w:t xml:space="preserve">pod </w:t>
      </w:r>
      <w:r w:rsidRPr="00E10112">
        <w:rPr>
          <w:rFonts w:ascii="Times New Roman" w:hAnsi="Times New Roman" w:cs="Times New Roman"/>
          <w:szCs w:val="21"/>
        </w:rPr>
        <w:t xml:space="preserve">tereny </w:t>
      </w:r>
      <w:r w:rsidR="00324CF3">
        <w:rPr>
          <w:rFonts w:ascii="Times New Roman" w:hAnsi="Times New Roman" w:cs="Times New Roman"/>
          <w:szCs w:val="21"/>
        </w:rPr>
        <w:t>obiektów produkcyjnych, składów, magazynów i usług</w:t>
      </w:r>
      <w:r w:rsidRPr="00E10112">
        <w:rPr>
          <w:rFonts w:ascii="Times New Roman" w:hAnsi="Times New Roman" w:cs="Times New Roman"/>
          <w:szCs w:val="21"/>
        </w:rPr>
        <w:t xml:space="preserve">, oznaczony symbolem </w:t>
      </w:r>
      <w:r w:rsidR="00324CF3">
        <w:rPr>
          <w:rFonts w:ascii="Times New Roman" w:hAnsi="Times New Roman" w:cs="Times New Roman"/>
          <w:szCs w:val="21"/>
        </w:rPr>
        <w:t>1 PU i 2 PU oraz tereny zieleni urządzonej z wodami powierzchniowymi oznaczone symbolem 1Zws</w:t>
      </w:r>
      <w:r w:rsidRPr="00E10112">
        <w:rPr>
          <w:rFonts w:ascii="Times New Roman" w:hAnsi="Times New Roman" w:cs="Times New Roman"/>
          <w:szCs w:val="21"/>
        </w:rPr>
        <w:t>, i innymi aktami prawa miejscowego,</w:t>
      </w:r>
    </w:p>
    <w:p w:rsidR="00AD3A51" w:rsidRPr="001548AD" w:rsidRDefault="00AD3A51" w:rsidP="00AD3A51">
      <w:pPr>
        <w:pStyle w:val="Akapitzlist"/>
        <w:ind w:left="142"/>
        <w:jc w:val="both"/>
        <w:rPr>
          <w:rFonts w:ascii="Times New Roman" w:hAnsi="Times New Roman" w:cs="Times New Roman"/>
        </w:rPr>
      </w:pPr>
      <w:r w:rsidRPr="001548AD">
        <w:rPr>
          <w:rStyle w:val="alb"/>
          <w:rFonts w:ascii="Times New Roman" w:hAnsi="Times New Roman" w:cs="Times New Roman"/>
        </w:rPr>
        <w:t xml:space="preserve">b) </w:t>
      </w:r>
      <w:r w:rsidRPr="001548AD">
        <w:rPr>
          <w:rFonts w:ascii="Times New Roman" w:hAnsi="Times New Roman" w:cs="Times New Roman"/>
        </w:rPr>
        <w:t xml:space="preserve">wymaganiami ochrony środowiska, w szczególności określonymi w decyzji                            </w:t>
      </w:r>
      <w:r w:rsidRPr="001548AD">
        <w:rPr>
          <w:rFonts w:ascii="Times New Roman" w:hAnsi="Times New Roman" w:cs="Times New Roman"/>
        </w:rPr>
        <w:br/>
      </w:r>
      <w:r w:rsidRPr="001548AD">
        <w:rPr>
          <w:rFonts w:ascii="Times New Roman" w:hAnsi="Times New Roman" w:cs="Times New Roman"/>
        </w:rPr>
        <w:lastRenderedPageBreak/>
        <w:t xml:space="preserve">      o środowiskowych uwarunkowaniach, o której mowa w </w:t>
      </w:r>
      <w:hyperlink r:id="rId9" w:history="1">
        <w:r>
          <w:rPr>
            <w:rStyle w:val="Hipercze"/>
            <w:rFonts w:ascii="Times New Roman" w:hAnsi="Times New Roman" w:cs="Times New Roman"/>
            <w:color w:val="auto"/>
            <w:u w:val="none"/>
          </w:rPr>
          <w:t>art</w:t>
        </w:r>
        <w:r w:rsidRPr="001548AD">
          <w:rPr>
            <w:rStyle w:val="Hipercze"/>
            <w:rFonts w:ascii="Times New Roman" w:hAnsi="Times New Roman" w:cs="Times New Roman"/>
            <w:color w:val="auto"/>
            <w:u w:val="none"/>
          </w:rPr>
          <w:t>. 71 ust. 1</w:t>
        </w:r>
      </w:hyperlink>
      <w:r w:rsidRPr="001548AD">
        <w:rPr>
          <w:rFonts w:ascii="Times New Roman" w:hAnsi="Times New Roman" w:cs="Times New Roman"/>
        </w:rPr>
        <w:t xml:space="preserve"> ustawy z dnia                    </w:t>
      </w:r>
      <w:r w:rsidRPr="001548AD">
        <w:rPr>
          <w:rFonts w:ascii="Times New Roman" w:hAnsi="Times New Roman" w:cs="Times New Roman"/>
        </w:rPr>
        <w:br/>
        <w:t xml:space="preserve">      3 października 2008 r. o udostępnianiu informacji o środowisku i jego ochronie, </w:t>
      </w:r>
      <w:r w:rsidRPr="001548AD">
        <w:rPr>
          <w:rFonts w:ascii="Times New Roman" w:hAnsi="Times New Roman" w:cs="Times New Roman"/>
        </w:rPr>
        <w:br/>
        <w:t xml:space="preserve">      udziale społeczeństwa w ochronie środowiska oraz o ocenach oddziaływania na </w:t>
      </w:r>
      <w:r w:rsidRPr="001548AD">
        <w:rPr>
          <w:rFonts w:ascii="Times New Roman" w:hAnsi="Times New Roman" w:cs="Times New Roman"/>
        </w:rPr>
        <w:br/>
        <w:t xml:space="preserve">      środowisko,</w:t>
      </w:r>
    </w:p>
    <w:p w:rsidR="00AD3A51" w:rsidRPr="001548AD" w:rsidRDefault="00AD3A51" w:rsidP="00AD3A51">
      <w:pPr>
        <w:pStyle w:val="Akapitzlist"/>
        <w:ind w:left="142"/>
        <w:jc w:val="both"/>
        <w:rPr>
          <w:rFonts w:ascii="Times New Roman" w:hAnsi="Times New Roman" w:cs="Times New Roman"/>
        </w:rPr>
      </w:pPr>
      <w:r w:rsidRPr="001548AD">
        <w:rPr>
          <w:rStyle w:val="alb"/>
          <w:rFonts w:ascii="Times New Roman" w:hAnsi="Times New Roman" w:cs="Times New Roman"/>
        </w:rPr>
        <w:t xml:space="preserve">c)   </w:t>
      </w:r>
      <w:r w:rsidRPr="001548AD">
        <w:rPr>
          <w:rFonts w:ascii="Times New Roman" w:hAnsi="Times New Roman" w:cs="Times New Roman"/>
        </w:rPr>
        <w:t>ustaleniami uchwały o ustaleniu lokalizacji inwestycji mieszkaniowej;</w:t>
      </w:r>
    </w:p>
    <w:p w:rsidR="00AD3A51" w:rsidRPr="000457E9" w:rsidRDefault="00AD3A51" w:rsidP="00AD3A51">
      <w:pPr>
        <w:numPr>
          <w:ilvl w:val="0"/>
          <w:numId w:val="36"/>
        </w:num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zgodność projektu zagospodarowania działki lub terenu z przepisami, w tym techniczno-budowlanymi;</w:t>
      </w:r>
    </w:p>
    <w:p w:rsidR="00AD3A51" w:rsidRPr="000457E9" w:rsidRDefault="00AD3A51" w:rsidP="00AD3A51">
      <w:pPr>
        <w:numPr>
          <w:ilvl w:val="0"/>
          <w:numId w:val="36"/>
        </w:num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kompletność projektu zagospodarowania działki lub terenu oraz projektu architektoniczno-budowlanego, w tym dołączenie:</w:t>
      </w:r>
    </w:p>
    <w:p w:rsidR="00AD3A51" w:rsidRPr="000457E9" w:rsidRDefault="00AD3A51" w:rsidP="00AD3A51">
      <w:pPr>
        <w:pBdr>
          <w:top w:val="none" w:sz="0" w:space="0" w:color="000000"/>
          <w:left w:val="none" w:sz="0" w:space="0" w:color="000000"/>
          <w:bottom w:val="none" w:sz="0" w:space="0" w:color="000000"/>
          <w:right w:val="none" w:sz="0" w:space="0" w:color="000000"/>
        </w:pBdr>
        <w:autoSpaceDN/>
        <w:ind w:left="777"/>
        <w:jc w:val="both"/>
        <w:rPr>
          <w:kern w:val="1"/>
          <w:szCs w:val="21"/>
        </w:rPr>
      </w:pPr>
      <w:r w:rsidRPr="000457E9">
        <w:rPr>
          <w:rFonts w:ascii="Times New Roman" w:hAnsi="Times New Roman"/>
          <w:kern w:val="1"/>
        </w:rPr>
        <w:t>c) kopii zaświadczenia, o którym mowa w art. 12 ust. 7, dotyczącego projektanta                         i projektanta sprawdzającego;</w:t>
      </w:r>
    </w:p>
    <w:p w:rsidR="00AD3A51" w:rsidRPr="000457E9" w:rsidRDefault="00AD3A51" w:rsidP="00AD3A51">
      <w:p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 xml:space="preserve">       3a.  dołączenie: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wymaganych opinii, uzgodnień, pozwoleń i sprawdzeń,</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oświadczeń, o których mowa w art. 33 ust. 2 pkt 9 i 10;</w:t>
      </w:r>
    </w:p>
    <w:p w:rsidR="00AD3A51" w:rsidRPr="000457E9" w:rsidRDefault="00AD3A51" w:rsidP="00AD3A51">
      <w:pPr>
        <w:widowControl/>
        <w:numPr>
          <w:ilvl w:val="0"/>
          <w:numId w:val="36"/>
        </w:numPr>
        <w:pBdr>
          <w:top w:val="none" w:sz="0" w:space="0" w:color="000000"/>
          <w:left w:val="none" w:sz="0" w:space="0" w:color="000000"/>
          <w:bottom w:val="none" w:sz="0" w:space="0" w:color="000000"/>
          <w:right w:val="none" w:sz="0" w:space="0" w:color="000000"/>
        </w:pBdr>
        <w:autoSpaceDN/>
        <w:jc w:val="both"/>
        <w:rPr>
          <w:rFonts w:ascii="Times New Roman" w:eastAsia="Times New Roman" w:hAnsi="Times New Roman" w:cs="Times New Roman"/>
          <w:kern w:val="1"/>
          <w:lang w:bidi="ar-SA"/>
        </w:rPr>
      </w:pPr>
      <w:bookmarkStart w:id="2" w:name="ref-przyp_46"/>
      <w:bookmarkEnd w:id="2"/>
      <w:r w:rsidRPr="000457E9">
        <w:rPr>
          <w:rFonts w:ascii="Times New Roman" w:eastAsia="Times New Roman" w:hAnsi="Times New Roman" w:cs="Times New Roman"/>
          <w:kern w:val="1"/>
          <w:lang w:bidi="ar-SA"/>
        </w:rPr>
        <w:t>  posiadanie przez projektanta i projektanta sprawdzającego odpowiednich uprawnień budowlanych na podstawie: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kopii dokumentów, o których mowa w art. 34 ust. 3d pkt 1 - w przypadku uprawnień niewpisanych do centralnego rejestru osób posiadających uprawnienia budowlane,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danych w centralnym rejestrze osób posiadających uprawnienia budowlane – w przypadku uprawnień wpisanych do tego rejestru;</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851" w:hanging="434"/>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4a. przynależność projektanta i projektanta sprawdzającego do właściwej izby samorządu zawodowego na podstawie: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zaświadczenia, o którym mowa w art. 12 ust. 7 - w przypadku osób niewpisanych do centralnego rejestru osób posiadających uprawnienia budowlane,</w:t>
      </w:r>
    </w:p>
    <w:p w:rsidR="00AD3A51" w:rsidRPr="00E91964" w:rsidRDefault="00AD3A51" w:rsidP="00E91964">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danych w centralnym rejestrze osób posiadających uprawnienia budowlane – w przypadku osób wpisanych do tego rejestru.</w:t>
      </w:r>
    </w:p>
    <w:p w:rsidR="00703777" w:rsidRDefault="00703777">
      <w:pPr>
        <w:pStyle w:val="Standard"/>
        <w:tabs>
          <w:tab w:val="right" w:pos="-2824"/>
          <w:tab w:val="left" w:pos="-2700"/>
        </w:tabs>
        <w:ind w:left="777"/>
        <w:jc w:val="both"/>
      </w:pPr>
    </w:p>
    <w:p w:rsidR="00703777" w:rsidRPr="00344102" w:rsidRDefault="003E5E1D" w:rsidP="00344102">
      <w:pPr>
        <w:widowControl/>
        <w:ind w:firstLine="708"/>
        <w:jc w:val="both"/>
        <w:rPr>
          <w:rFonts w:ascii="Times New Roman" w:eastAsia="Times New Roman" w:hAnsi="Times New Roman" w:cs="Times New Roman"/>
          <w:lang w:bidi="ar-SA"/>
        </w:rPr>
      </w:pPr>
      <w:r>
        <w:rPr>
          <w:rFonts w:ascii="Times New Roman" w:eastAsia="Times New Roman" w:hAnsi="Times New Roman" w:cs="Times New Roman"/>
          <w:lang w:bidi="ar-SA"/>
        </w:rPr>
        <w:t>W związku z dostarczeniem przez inwestora wszelkich niezbędnych dokumentów i spełnieniem wymogów ustawowych, w tym również nałożonych przez załączone do projektu decyzje, opinie, i uzgodnienia, zgodnie z art. 35 ust. 4 ustawy Prawo budowlane stanowiącym, iż w razie spełnienia wymagań określonych w ust. 1 oraz w art. 32 ust. 4, właściwy organ nie może odmówić wydania decyzji o pozwoleniu na budowę, orzeczono, jak w sentencji.</w:t>
      </w:r>
    </w:p>
    <w:p w:rsidR="008D73B3" w:rsidRDefault="008D73B3">
      <w:pPr>
        <w:keepNext/>
        <w:widowControl/>
        <w:overflowPunct w:val="0"/>
        <w:autoSpaceDE w:val="0"/>
        <w:jc w:val="center"/>
        <w:rPr>
          <w:rFonts w:ascii="Times New Roman" w:eastAsia="Courier New" w:hAnsi="Times New Roman" w:cs="Times New Roman"/>
          <w:b/>
          <w:lang w:bidi="ar-SA"/>
        </w:rPr>
      </w:pPr>
    </w:p>
    <w:p w:rsidR="008D73B3" w:rsidRDefault="008D73B3">
      <w:pPr>
        <w:keepNext/>
        <w:widowControl/>
        <w:overflowPunct w:val="0"/>
        <w:autoSpaceDE w:val="0"/>
        <w:jc w:val="center"/>
        <w:rPr>
          <w:rFonts w:ascii="Times New Roman" w:eastAsia="Courier New" w:hAnsi="Times New Roman" w:cs="Times New Roman"/>
          <w:b/>
          <w:lang w:bidi="ar-SA"/>
        </w:rPr>
      </w:pPr>
    </w:p>
    <w:p w:rsidR="00703777" w:rsidRDefault="003E5E1D">
      <w:pPr>
        <w:keepNext/>
        <w:widowControl/>
        <w:overflowPunct w:val="0"/>
        <w:autoSpaceDE w:val="0"/>
        <w:jc w:val="center"/>
        <w:rPr>
          <w:rFonts w:ascii="Times New Roman" w:eastAsia="Courier New" w:hAnsi="Times New Roman" w:cs="Times New Roman"/>
          <w:b/>
          <w:lang w:bidi="ar-SA"/>
        </w:rPr>
      </w:pPr>
      <w:r>
        <w:rPr>
          <w:rFonts w:ascii="Times New Roman" w:eastAsia="Courier New" w:hAnsi="Times New Roman" w:cs="Times New Roman"/>
          <w:b/>
          <w:lang w:bidi="ar-SA"/>
        </w:rPr>
        <w:t>POUCZENIE</w:t>
      </w:r>
    </w:p>
    <w:p w:rsidR="00703777" w:rsidRDefault="003E5E1D">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t>Od decyzji przysługuje odwołanie do Wojewody Mazowieckiego,                                                 za pośrednictwem organu, który wydał niniejszą decyzję (Starosta Piaseczyński,                            ul. Chyliczkowska 14, 05-500 Piaseczno), w terminie 14 dni od dnia jej doręczenia.</w:t>
      </w:r>
    </w:p>
    <w:p w:rsidR="008D73B3" w:rsidRDefault="008D73B3">
      <w:pPr>
        <w:widowControl/>
        <w:ind w:firstLine="708"/>
        <w:jc w:val="both"/>
        <w:rPr>
          <w:rFonts w:ascii="Times New Roman" w:eastAsia="Times New Roman" w:hAnsi="Times New Roman" w:cs="Times New Roman"/>
          <w:b/>
          <w:lang w:bidi="ar-SA"/>
        </w:rPr>
      </w:pPr>
    </w:p>
    <w:p w:rsidR="00703777" w:rsidRDefault="003E5E1D">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t>W trakcie biegu terminu do wniesienia odwołania strona może zrzec się prawa do wniesienia odwołania wobec organu administracji publicznej, który wydał decyzję.</w:t>
      </w:r>
    </w:p>
    <w:p w:rsidR="008D73B3" w:rsidRDefault="008D73B3">
      <w:pPr>
        <w:widowControl/>
        <w:ind w:firstLine="708"/>
        <w:jc w:val="both"/>
        <w:rPr>
          <w:rFonts w:ascii="Times New Roman" w:eastAsia="Times New Roman" w:hAnsi="Times New Roman" w:cs="Times New Roman"/>
          <w:b/>
          <w:lang w:bidi="ar-SA"/>
        </w:rPr>
      </w:pPr>
    </w:p>
    <w:p w:rsidR="008D73B3" w:rsidRDefault="008D73B3">
      <w:pPr>
        <w:widowControl/>
        <w:ind w:firstLine="708"/>
        <w:jc w:val="both"/>
        <w:rPr>
          <w:rFonts w:ascii="Times New Roman" w:eastAsia="Times New Roman" w:hAnsi="Times New Roman" w:cs="Times New Roman"/>
          <w:b/>
          <w:lang w:bidi="ar-SA"/>
        </w:rPr>
      </w:pPr>
    </w:p>
    <w:p w:rsidR="008D73B3" w:rsidRDefault="008D73B3">
      <w:pPr>
        <w:widowControl/>
        <w:ind w:firstLine="708"/>
        <w:jc w:val="both"/>
        <w:rPr>
          <w:rFonts w:ascii="Times New Roman" w:eastAsia="Times New Roman" w:hAnsi="Times New Roman" w:cs="Times New Roman"/>
          <w:b/>
          <w:lang w:bidi="ar-SA"/>
        </w:rPr>
      </w:pPr>
    </w:p>
    <w:p w:rsidR="00703777" w:rsidRDefault="003E5E1D">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lastRenderedPageBreak/>
        <w:t>Z dniem doręczenia organowi administracji publicznej oświadczenia o zrzeczeniu się prawa do wniesienia odwołania przez ostatnią ze stron postępowania, decyzja staje się ostateczna i prawomocna.</w:t>
      </w:r>
    </w:p>
    <w:p w:rsidR="00703777" w:rsidRDefault="00703777">
      <w:pPr>
        <w:widowControl/>
        <w:ind w:firstLine="708"/>
        <w:jc w:val="both"/>
        <w:rPr>
          <w:rFonts w:ascii="Times New Roman" w:eastAsia="Times New Roman" w:hAnsi="Times New Roman" w:cs="Times New Roman"/>
          <w:b/>
          <w:lang w:bidi="ar-SA"/>
        </w:rPr>
      </w:pPr>
    </w:p>
    <w:tbl>
      <w:tblPr>
        <w:tblW w:w="7371" w:type="dxa"/>
        <w:tblLook w:val="04A0" w:firstRow="1" w:lastRow="0" w:firstColumn="1" w:lastColumn="0" w:noHBand="0" w:noVBand="1"/>
      </w:tblPr>
      <w:tblGrid>
        <w:gridCol w:w="3533"/>
        <w:gridCol w:w="3838"/>
      </w:tblGrid>
      <w:tr w:rsidR="008D73B3" w:rsidRPr="0000575A" w:rsidTr="0000575A">
        <w:trPr>
          <w:trHeight w:val="2385"/>
        </w:trPr>
        <w:tc>
          <w:tcPr>
            <w:tcW w:w="3533" w:type="dxa"/>
            <w:shd w:val="clear" w:color="auto" w:fill="auto"/>
          </w:tcPr>
          <w:p w:rsidR="008D73B3" w:rsidRPr="0000575A" w:rsidRDefault="00457D7F" w:rsidP="0000575A">
            <w:pPr>
              <w:jc w:val="center"/>
              <w:rPr>
                <w:rFonts w:ascii="Calibri" w:eastAsia="Calibri" w:hAnsi="Calibri" w:cs="Times New Roman"/>
                <w:caps/>
                <w:sz w:val="22"/>
                <w:szCs w:val="22"/>
              </w:rPr>
            </w:pPr>
            <w:r>
              <w:rPr>
                <w:rFonts w:ascii="Calibri" w:eastAsia="Calibri" w:hAnsi="Calibri" w:cs="Times New Roman"/>
                <w:noProof/>
                <w:sz w:val="22"/>
                <w:szCs w:val="22"/>
                <w:lang w:eastAsia="pl-PL" w:bidi="ar-SA"/>
              </w:rPr>
              <w:drawing>
                <wp:inline distT="0" distB="0" distL="0" distR="0">
                  <wp:extent cx="1478915" cy="1308735"/>
                  <wp:effectExtent l="0" t="0" r="6985" b="5715"/>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8915" cy="1308735"/>
                          </a:xfrm>
                          <a:prstGeom prst="rect">
                            <a:avLst/>
                          </a:prstGeom>
                          <a:noFill/>
                          <a:ln>
                            <a:noFill/>
                          </a:ln>
                        </pic:spPr>
                      </pic:pic>
                    </a:graphicData>
                  </a:graphic>
                </wp:inline>
              </w:drawing>
            </w:r>
          </w:p>
        </w:tc>
        <w:tc>
          <w:tcPr>
            <w:tcW w:w="3838" w:type="dxa"/>
            <w:shd w:val="clear" w:color="auto" w:fill="auto"/>
          </w:tcPr>
          <w:p w:rsidR="008D73B3" w:rsidRPr="0000575A" w:rsidRDefault="008D73B3" w:rsidP="0000575A">
            <w:pPr>
              <w:jc w:val="center"/>
              <w:rPr>
                <w:rFonts w:ascii="Calibri" w:eastAsia="Calibri" w:hAnsi="Calibri" w:cs="Times New Roman"/>
                <w:caps/>
                <w:sz w:val="22"/>
                <w:szCs w:val="22"/>
              </w:rPr>
            </w:pPr>
            <w:bookmarkStart w:id="3" w:name="_Hlk64986085"/>
            <w:r w:rsidRPr="0000575A">
              <w:rPr>
                <w:rFonts w:ascii="Calibri" w:eastAsia="Calibri" w:hAnsi="Calibri" w:cs="Times New Roman"/>
                <w:caps/>
                <w:sz w:val="22"/>
                <w:szCs w:val="22"/>
              </w:rPr>
              <w:t>opatrzone kwalifikowanym podpisem elektronicznym</w:t>
            </w:r>
          </w:p>
          <w:p w:rsidR="008D73B3" w:rsidRPr="0000575A" w:rsidRDefault="008D73B3" w:rsidP="0000575A">
            <w:pPr>
              <w:jc w:val="center"/>
              <w:rPr>
                <w:rFonts w:ascii="Calibri" w:eastAsia="Calibri" w:hAnsi="Calibri" w:cs="Times New Roman"/>
                <w:caps/>
                <w:sz w:val="22"/>
                <w:szCs w:val="22"/>
              </w:rPr>
            </w:pPr>
          </w:p>
          <w:p w:rsidR="008D73B3" w:rsidRPr="0000575A" w:rsidRDefault="008D73B3" w:rsidP="0000575A">
            <w:pPr>
              <w:spacing w:after="120"/>
              <w:jc w:val="center"/>
              <w:rPr>
                <w:rFonts w:ascii="Calibri" w:eastAsia="Calibri" w:hAnsi="Calibri" w:cs="Times New Roman"/>
                <w:sz w:val="22"/>
                <w:szCs w:val="22"/>
              </w:rPr>
            </w:pPr>
            <w:r w:rsidRPr="0000575A">
              <w:rPr>
                <w:rFonts w:ascii="Calibri" w:eastAsia="Calibri" w:hAnsi="Calibri" w:cs="Times New Roman"/>
                <w:sz w:val="22"/>
                <w:szCs w:val="22"/>
              </w:rPr>
              <w:t>Z up. Starosty Piaseczyńskiego</w:t>
            </w:r>
          </w:p>
          <w:p w:rsidR="008D73B3" w:rsidRPr="0000575A" w:rsidRDefault="008D73B3" w:rsidP="0000575A">
            <w:pPr>
              <w:jc w:val="center"/>
              <w:rPr>
                <w:rFonts w:ascii="Calibri" w:eastAsia="Calibri" w:hAnsi="Calibri" w:cs="Times New Roman"/>
                <w:i/>
              </w:rPr>
            </w:pPr>
            <w:r w:rsidRPr="0000575A">
              <w:rPr>
                <w:rFonts w:ascii="Calibri" w:eastAsia="Calibri" w:hAnsi="Calibri" w:cs="Times New Roman"/>
                <w:i/>
              </w:rPr>
              <w:t>mgr inż. Sylwia Moszczyńska-Staś</w:t>
            </w:r>
          </w:p>
          <w:p w:rsidR="008D73B3" w:rsidRPr="0000575A" w:rsidRDefault="008D73B3" w:rsidP="0000575A">
            <w:pPr>
              <w:jc w:val="center"/>
              <w:rPr>
                <w:rFonts w:ascii="Calibri" w:eastAsia="Calibri" w:hAnsi="Calibri" w:cs="Times New Roman"/>
                <w:sz w:val="22"/>
                <w:szCs w:val="22"/>
              </w:rPr>
            </w:pPr>
            <w:r w:rsidRPr="0000575A">
              <w:rPr>
                <w:rFonts w:ascii="Calibri" w:eastAsia="Calibri" w:hAnsi="Calibri" w:cs="Times New Roman"/>
                <w:sz w:val="22"/>
                <w:szCs w:val="22"/>
              </w:rPr>
              <w:t>Naczelnik Wydziału</w:t>
            </w:r>
          </w:p>
          <w:p w:rsidR="008D73B3" w:rsidRPr="0000575A" w:rsidRDefault="008D73B3" w:rsidP="0000575A">
            <w:pPr>
              <w:jc w:val="center"/>
              <w:rPr>
                <w:rFonts w:ascii="Calibri" w:eastAsia="Calibri" w:hAnsi="Calibri" w:cs="Times New Roman"/>
                <w:sz w:val="22"/>
                <w:szCs w:val="22"/>
              </w:rPr>
            </w:pPr>
            <w:r w:rsidRPr="0000575A">
              <w:rPr>
                <w:rFonts w:ascii="Calibri" w:eastAsia="Calibri" w:hAnsi="Calibri" w:cs="Times New Roman"/>
                <w:sz w:val="22"/>
                <w:szCs w:val="22"/>
              </w:rPr>
              <w:t>Architektoniczno-Budowlanego</w:t>
            </w:r>
          </w:p>
          <w:bookmarkEnd w:id="3"/>
          <w:p w:rsidR="008D73B3" w:rsidRPr="0000575A" w:rsidRDefault="008D73B3" w:rsidP="0000575A">
            <w:pPr>
              <w:jc w:val="center"/>
              <w:rPr>
                <w:rFonts w:ascii="Calibri" w:eastAsia="Calibri" w:hAnsi="Calibri" w:cs="Times New Roman"/>
                <w:caps/>
                <w:sz w:val="22"/>
                <w:szCs w:val="22"/>
              </w:rPr>
            </w:pPr>
          </w:p>
        </w:tc>
      </w:tr>
    </w:tbl>
    <w:p w:rsidR="00AD3A51" w:rsidRDefault="00AD3A51">
      <w:pPr>
        <w:widowControl/>
        <w:rPr>
          <w:rFonts w:ascii="Times New Roman" w:eastAsia="Times New Roman" w:hAnsi="Times New Roman" w:cs="Times New Roman"/>
          <w:b/>
          <w:lang w:bidi="ar-SA"/>
        </w:rPr>
      </w:pPr>
    </w:p>
    <w:p w:rsidR="008D73B3" w:rsidRDefault="008D73B3" w:rsidP="008D73B3">
      <w:pPr>
        <w:pStyle w:val="Standard"/>
        <w:tabs>
          <w:tab w:val="left" w:pos="4095"/>
        </w:tabs>
        <w:jc w:val="both"/>
        <w:rPr>
          <w:b/>
          <w:bCs/>
          <w:sz w:val="32"/>
          <w:szCs w:val="32"/>
        </w:rPr>
      </w:pPr>
      <w:r w:rsidRPr="007E2AE7">
        <w:t>Wydruk stanowi dowód tego, co zostało stwierdzone w piśmie wydanym w formie dokumentu elektronicznego, zgodnie z art. 39</w:t>
      </w:r>
      <w:r w:rsidRPr="007E2AE7">
        <w:rPr>
          <w:vertAlign w:val="superscript"/>
        </w:rPr>
        <w:t>3</w:t>
      </w:r>
      <w:r w:rsidRPr="007E2AE7">
        <w:t xml:space="preserve"> k.p.a. Został on wytworzony za pomocą systemu teleinformatycznego i podpisany kwalifikowanym podpisem elektronicznym.</w:t>
      </w:r>
    </w:p>
    <w:p w:rsidR="00AD3A51" w:rsidRDefault="00AD3A51">
      <w:pPr>
        <w:widowControl/>
        <w:rPr>
          <w:rFonts w:ascii="Times New Roman" w:eastAsia="Times New Roman" w:hAnsi="Times New Roman" w:cs="Times New Roman"/>
          <w:b/>
          <w:lang w:bidi="ar-SA"/>
        </w:rPr>
      </w:pPr>
    </w:p>
    <w:p w:rsidR="00703777" w:rsidRDefault="003E5E1D">
      <w:pPr>
        <w:widowControl/>
        <w:jc w:val="center"/>
        <w:rPr>
          <w:rFonts w:ascii="Times New Roman" w:eastAsia="Times New Roman" w:hAnsi="Times New Roman" w:cs="Times New Roman"/>
          <w:b/>
          <w:lang w:bidi="ar-SA"/>
        </w:rPr>
      </w:pPr>
      <w:r>
        <w:rPr>
          <w:rFonts w:ascii="Times New Roman" w:eastAsia="Times New Roman" w:hAnsi="Times New Roman" w:cs="Times New Roman"/>
          <w:b/>
          <w:lang w:bidi="ar-SA"/>
        </w:rPr>
        <w:t>ADNOTACJA DOTYCZĄCA OPŁATY SKARBOWEJ</w:t>
      </w:r>
    </w:p>
    <w:p w:rsidR="00FE48DB" w:rsidRDefault="00FE48DB" w:rsidP="00FE48DB">
      <w:pPr>
        <w:pStyle w:val="Standard"/>
        <w:ind w:firstLine="709"/>
        <w:jc w:val="both"/>
      </w:pPr>
      <w:r>
        <w:t xml:space="preserve">Zgodnie  z § 4 ust. 1 i 2 rozporządzenia Ministra Finansów z dnia 28 września 2007 r. w sprawie zapłaty opłaty skarbowej (Dz. U. nr 187, poz.1330) potwierdzam, że </w:t>
      </w:r>
      <w:r>
        <w:rPr>
          <w:color w:val="000000"/>
        </w:rPr>
        <w:t xml:space="preserve">zgodnie z ustawą z dnia 16 listopada 2006 r. o opłacie skarbowej (t.j. Dz. U. z 2021 r., poz. 1923 ze zm.), </w:t>
      </w:r>
      <w:r>
        <w:t>że podmiot wniósł opłatę skarbową za wydanie decyzji w wysokości 1944,00 zł.</w:t>
      </w: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3E5E1D">
      <w:pPr>
        <w:widowControl/>
        <w:jc w:val="both"/>
      </w:pPr>
      <w:r>
        <w:rPr>
          <w:rFonts w:ascii="Times New Roman" w:eastAsia="Times New Roman" w:hAnsi="Times New Roman" w:cs="Times New Roman"/>
          <w:b/>
          <w:lang w:bidi="ar-SA"/>
        </w:rPr>
        <w:t>Załącznik:</w:t>
      </w:r>
      <w:r>
        <w:rPr>
          <w:rFonts w:ascii="Times New Roman" w:eastAsia="Times New Roman" w:hAnsi="Times New Roman" w:cs="Times New Roman"/>
          <w:lang w:bidi="ar-SA"/>
        </w:rPr>
        <w:t xml:space="preserve">  zatwierdzony projekt </w:t>
      </w:r>
      <w:r>
        <w:rPr>
          <w:rFonts w:ascii="Times New Roman" w:eastAsia="Times New Roman" w:hAnsi="Times New Roman" w:cs="Times New Roman"/>
          <w:color w:val="000000"/>
          <w:lang w:bidi="ar-SA"/>
        </w:rPr>
        <w:t xml:space="preserve">zagospodarowania terenu i architektoniczno-budowlany, </w:t>
      </w:r>
    </w:p>
    <w:p w:rsidR="00703777" w:rsidRDefault="00703777">
      <w:pPr>
        <w:widowControl/>
        <w:jc w:val="both"/>
      </w:pPr>
    </w:p>
    <w:p w:rsidR="00703777" w:rsidRDefault="003E5E1D">
      <w:pPr>
        <w:widowControl/>
        <w:jc w:val="both"/>
      </w:pPr>
      <w:r>
        <w:rPr>
          <w:rFonts w:ascii="Times New Roman" w:eastAsia="Times New Roman" w:hAnsi="Times New Roman" w:cs="Times New Roman"/>
          <w:b/>
          <w:bCs/>
          <w:lang w:bidi="ar-SA"/>
        </w:rPr>
        <w:t>Otrzymują (strony postępowania)</w:t>
      </w:r>
      <w:r>
        <w:rPr>
          <w:rFonts w:ascii="Times New Roman" w:eastAsia="Times New Roman" w:hAnsi="Times New Roman" w:cs="Times New Roman"/>
          <w:lang w:bidi="ar-SA"/>
        </w:rPr>
        <w:t>:</w:t>
      </w:r>
    </w:p>
    <w:p w:rsidR="0005419F" w:rsidRDefault="0005419F" w:rsidP="0005419F">
      <w:pPr>
        <w:widowControl/>
        <w:numPr>
          <w:ilvl w:val="0"/>
          <w:numId w:val="22"/>
        </w:numPr>
        <w:ind w:left="567" w:hanging="425"/>
        <w:rPr>
          <w:rFonts w:ascii="Times New Roman" w:eastAsia="Times New Roman" w:hAnsi="Times New Roman" w:cs="Times New Roman"/>
          <w:lang w:bidi="ar-SA"/>
        </w:rPr>
      </w:pPr>
      <w:r w:rsidRPr="00A65C3C">
        <w:rPr>
          <w:rFonts w:ascii="Times New Roman" w:eastAsia="Times New Roman" w:hAnsi="Times New Roman" w:cs="Times New Roman"/>
          <w:lang w:bidi="ar-SA"/>
        </w:rPr>
        <w:t xml:space="preserve">Pan </w:t>
      </w:r>
      <w:r>
        <w:rPr>
          <w:rFonts w:ascii="Times New Roman" w:eastAsia="Times New Roman" w:hAnsi="Times New Roman" w:cs="Times New Roman"/>
          <w:lang w:bidi="ar-SA"/>
        </w:rPr>
        <w:t>Rafał Jacewicz – pełnomocnik inwestora</w:t>
      </w:r>
      <w:r w:rsidR="00774DD8">
        <w:rPr>
          <w:rFonts w:ascii="Times New Roman" w:eastAsia="Times New Roman" w:hAnsi="Times New Roman" w:cs="Times New Roman"/>
          <w:lang w:bidi="ar-SA"/>
        </w:rPr>
        <w:t xml:space="preserve">                                     (+ egz. załącznika)</w:t>
      </w:r>
    </w:p>
    <w:p w:rsidR="0005419F" w:rsidRDefault="0005419F" w:rsidP="0005419F">
      <w:pPr>
        <w:widowControl/>
        <w:numPr>
          <w:ilvl w:val="0"/>
          <w:numId w:val="22"/>
        </w:numPr>
        <w:ind w:left="567" w:hanging="425"/>
        <w:rPr>
          <w:rFonts w:ascii="Times New Roman" w:eastAsia="Times New Roman" w:hAnsi="Times New Roman" w:cs="Times New Roman"/>
          <w:lang w:bidi="ar-SA"/>
        </w:rPr>
      </w:pPr>
      <w:r>
        <w:rPr>
          <w:rFonts w:ascii="Times New Roman" w:eastAsia="Times New Roman" w:hAnsi="Times New Roman" w:cs="Times New Roman"/>
          <w:lang w:bidi="ar-SA"/>
        </w:rPr>
        <w:t>Olmar Sp. Akcyjna</w:t>
      </w:r>
    </w:p>
    <w:p w:rsidR="0005419F" w:rsidRPr="009D320E" w:rsidRDefault="0005419F" w:rsidP="0005419F">
      <w:pPr>
        <w:widowControl/>
        <w:ind w:left="567" w:hanging="425"/>
        <w:rPr>
          <w:rFonts w:ascii="Times New Roman" w:eastAsia="Times New Roman" w:hAnsi="Times New Roman" w:cs="Times New Roman"/>
          <w:lang w:bidi="ar-SA"/>
        </w:rPr>
      </w:pPr>
      <w:r>
        <w:rPr>
          <w:rFonts w:ascii="Times New Roman" w:eastAsia="Times New Roman" w:hAnsi="Times New Roman" w:cs="Times New Roman"/>
          <w:lang w:bidi="ar-SA"/>
        </w:rPr>
        <w:t xml:space="preserve">       ul. Ordynacka 11 lok. 4, 00-346 Warszawa</w:t>
      </w:r>
    </w:p>
    <w:p w:rsidR="0005419F" w:rsidRDefault="0005419F" w:rsidP="0005419F">
      <w:pPr>
        <w:widowControl/>
        <w:numPr>
          <w:ilvl w:val="0"/>
          <w:numId w:val="22"/>
        </w:numPr>
        <w:tabs>
          <w:tab w:val="left" w:pos="-28620"/>
        </w:tabs>
        <w:ind w:left="567" w:hanging="425"/>
        <w:jc w:val="both"/>
        <w:rPr>
          <w:rFonts w:ascii="Times New Roman" w:eastAsia="Times New Roman" w:hAnsi="Times New Roman" w:cs="Times New Roman"/>
          <w:bCs/>
          <w:lang w:bidi="ar-SA"/>
        </w:rPr>
      </w:pPr>
      <w:r>
        <w:rPr>
          <w:rFonts w:ascii="Times New Roman" w:eastAsia="Times New Roman" w:hAnsi="Times New Roman" w:cs="Times New Roman"/>
          <w:bCs/>
          <w:lang w:bidi="ar-SA"/>
        </w:rPr>
        <w:t>Pan Mariusz Babral</w:t>
      </w:r>
    </w:p>
    <w:p w:rsidR="00703777" w:rsidRDefault="00CC4365" w:rsidP="0005419F">
      <w:pPr>
        <w:widowControl/>
        <w:numPr>
          <w:ilvl w:val="0"/>
          <w:numId w:val="22"/>
        </w:numPr>
        <w:tabs>
          <w:tab w:val="left" w:pos="-31680"/>
        </w:tabs>
        <w:ind w:left="567" w:hanging="425"/>
        <w:jc w:val="both"/>
        <w:rPr>
          <w:rFonts w:ascii="Times New Roman" w:eastAsia="Times New Roman" w:hAnsi="Times New Roman" w:cs="Times New Roman"/>
          <w:bCs/>
          <w:lang w:bidi="ar-SA"/>
        </w:rPr>
      </w:pPr>
      <w:r>
        <w:rPr>
          <w:rFonts w:ascii="Times New Roman" w:eastAsia="Times New Roman" w:hAnsi="Times New Roman" w:cs="Times New Roman"/>
          <w:bCs/>
          <w:lang w:bidi="ar-SA"/>
        </w:rPr>
        <w:t>a</w:t>
      </w:r>
      <w:r w:rsidR="0005419F">
        <w:rPr>
          <w:rFonts w:ascii="Times New Roman" w:eastAsia="Times New Roman" w:hAnsi="Times New Roman" w:cs="Times New Roman"/>
          <w:bCs/>
          <w:lang w:bidi="ar-SA"/>
        </w:rPr>
        <w:t xml:space="preserve">a                                                                                                        </w:t>
      </w:r>
      <w:r w:rsidR="003E5E1D">
        <w:rPr>
          <w:rFonts w:ascii="Times New Roman" w:eastAsia="Times New Roman" w:hAnsi="Times New Roman" w:cs="Times New Roman"/>
          <w:bCs/>
          <w:lang w:bidi="ar-SA"/>
        </w:rPr>
        <w:t>(+ egz. załącznika)</w:t>
      </w:r>
    </w:p>
    <w:p w:rsidR="00703777" w:rsidRDefault="003E5E1D">
      <w:pPr>
        <w:widowControl/>
        <w:rPr>
          <w:rFonts w:ascii="Times New Roman" w:eastAsia="Times New Roman" w:hAnsi="Times New Roman" w:cs="Times New Roman"/>
          <w:b/>
          <w:lang w:bidi="ar-SA"/>
        </w:rPr>
      </w:pPr>
      <w:r>
        <w:rPr>
          <w:rFonts w:ascii="Times New Roman" w:eastAsia="Times New Roman" w:hAnsi="Times New Roman" w:cs="Times New Roman"/>
          <w:b/>
          <w:lang w:bidi="ar-SA"/>
        </w:rPr>
        <w:t>Do wiadomości:</w:t>
      </w:r>
    </w:p>
    <w:p w:rsidR="0005419F" w:rsidRDefault="003E5E1D" w:rsidP="0005419F">
      <w:pPr>
        <w:widowControl/>
        <w:numPr>
          <w:ilvl w:val="3"/>
          <w:numId w:val="22"/>
        </w:numPr>
        <w:overflowPunct w:val="0"/>
        <w:autoSpaceDE w:val="0"/>
        <w:ind w:left="567" w:hanging="425"/>
        <w:rPr>
          <w:rFonts w:ascii="Times New Roman" w:eastAsia="Times New Roman" w:hAnsi="Times New Roman" w:cs="Times New Roman"/>
          <w:lang w:bidi="ar-SA"/>
        </w:rPr>
      </w:pPr>
      <w:r>
        <w:rPr>
          <w:rFonts w:ascii="Times New Roman" w:eastAsia="Times New Roman" w:hAnsi="Times New Roman" w:cs="Times New Roman"/>
          <w:lang w:bidi="ar-SA"/>
        </w:rPr>
        <w:t>Powiatowy Inspektor Nadzoru Budowlanego w Piasecznie</w:t>
      </w:r>
      <w:r w:rsidR="0005419F">
        <w:rPr>
          <w:rFonts w:ascii="Times New Roman" w:eastAsia="Times New Roman" w:hAnsi="Times New Roman" w:cs="Times New Roman"/>
          <w:lang w:bidi="ar-SA"/>
        </w:rPr>
        <w:t xml:space="preserve"> </w:t>
      </w:r>
    </w:p>
    <w:p w:rsidR="00703777" w:rsidRDefault="0005419F" w:rsidP="0005419F">
      <w:pPr>
        <w:widowControl/>
        <w:overflowPunct w:val="0"/>
        <w:autoSpaceDE w:val="0"/>
      </w:pPr>
      <w:r>
        <w:rPr>
          <w:rFonts w:ascii="Times New Roman" w:eastAsia="Times New Roman" w:hAnsi="Times New Roman" w:cs="Times New Roman"/>
          <w:lang w:bidi="ar-SA"/>
        </w:rPr>
        <w:t xml:space="preserve">         </w:t>
      </w:r>
      <w:r w:rsidR="003E5E1D">
        <w:rPr>
          <w:rFonts w:ascii="Times New Roman" w:eastAsia="Times New Roman" w:hAnsi="Times New Roman" w:cs="Times New Roman"/>
          <w:lang w:bidi="ar-SA"/>
        </w:rPr>
        <w:t xml:space="preserve">ul. Czajewicza 2/4, 05-500 Piaseczno                         </w:t>
      </w:r>
      <w:r>
        <w:rPr>
          <w:rFonts w:ascii="Times New Roman" w:eastAsia="Times New Roman" w:hAnsi="Times New Roman" w:cs="Times New Roman"/>
          <w:lang w:bidi="ar-SA"/>
        </w:rPr>
        <w:t xml:space="preserve"> </w:t>
      </w:r>
      <w:r w:rsidR="003E5E1D">
        <w:rPr>
          <w:rFonts w:ascii="Times New Roman" w:eastAsia="Times New Roman" w:hAnsi="Times New Roman" w:cs="Times New Roman"/>
          <w:lang w:bidi="ar-SA"/>
        </w:rPr>
        <w:t xml:space="preserve">(dec. ostateczna + </w:t>
      </w:r>
      <w:r w:rsidR="003E5E1D">
        <w:rPr>
          <w:rFonts w:ascii="Times New Roman" w:eastAsia="Times New Roman" w:hAnsi="Times New Roman" w:cs="Times New Roman"/>
          <w:bCs/>
          <w:lang w:bidi="ar-SA"/>
        </w:rPr>
        <w:t>egz. załącznika)</w:t>
      </w:r>
    </w:p>
    <w:p w:rsidR="00703777" w:rsidRDefault="003E5E1D" w:rsidP="0005419F">
      <w:pPr>
        <w:widowControl/>
        <w:overflowPunct w:val="0"/>
        <w:autoSpaceDE w:val="0"/>
        <w:ind w:left="567" w:hanging="425"/>
        <w:jc w:val="both"/>
        <w:rPr>
          <w:rFonts w:ascii="Times New Roman" w:eastAsia="Times New Roman" w:hAnsi="Times New Roman" w:cs="Times New Roman"/>
          <w:bCs/>
          <w:lang w:bidi="ar-SA"/>
        </w:rPr>
      </w:pPr>
      <w:r>
        <w:rPr>
          <w:rFonts w:ascii="Times New Roman" w:eastAsia="Times New Roman" w:hAnsi="Times New Roman" w:cs="Times New Roman"/>
          <w:bCs/>
          <w:lang w:bidi="ar-SA"/>
        </w:rPr>
        <w:t xml:space="preserve">2. </w:t>
      </w:r>
      <w:r w:rsidR="0005419F">
        <w:rPr>
          <w:rFonts w:ascii="Times New Roman" w:eastAsia="Times New Roman" w:hAnsi="Times New Roman" w:cs="Times New Roman"/>
          <w:bCs/>
          <w:lang w:bidi="ar-SA"/>
        </w:rPr>
        <w:t xml:space="preserve">   Burmistrz Miasta i Gminy Góra Kalwaria</w:t>
      </w:r>
    </w:p>
    <w:p w:rsidR="00703777" w:rsidRDefault="003E5E1D">
      <w:pPr>
        <w:widowControl/>
        <w:overflowPunct w:val="0"/>
        <w:autoSpaceDE w:val="0"/>
        <w:jc w:val="both"/>
        <w:rPr>
          <w:rFonts w:ascii="Times New Roman" w:eastAsia="Times New Roman" w:hAnsi="Times New Roman" w:cs="Times New Roman"/>
          <w:bCs/>
          <w:lang w:bidi="ar-SA"/>
        </w:rPr>
      </w:pPr>
      <w:r>
        <w:rPr>
          <w:rFonts w:ascii="Times New Roman" w:eastAsia="Times New Roman" w:hAnsi="Times New Roman" w:cs="Times New Roman"/>
          <w:bCs/>
          <w:lang w:bidi="ar-SA"/>
        </w:rPr>
        <w:t xml:space="preserve">         ul. </w:t>
      </w:r>
      <w:r w:rsidR="0005419F">
        <w:rPr>
          <w:rFonts w:ascii="Times New Roman" w:eastAsia="Times New Roman" w:hAnsi="Times New Roman" w:cs="Times New Roman"/>
          <w:bCs/>
          <w:lang w:bidi="ar-SA"/>
        </w:rPr>
        <w:t xml:space="preserve">3 Maja 10, 05-530 Góra Kalwaria                                                                    </w:t>
      </w:r>
      <w:r>
        <w:rPr>
          <w:rFonts w:ascii="Times New Roman" w:eastAsia="Times New Roman" w:hAnsi="Times New Roman" w:cs="Times New Roman"/>
          <w:bCs/>
          <w:lang w:bidi="ar-SA"/>
        </w:rPr>
        <w:t>(decyzja)</w:t>
      </w:r>
    </w:p>
    <w:p w:rsidR="00703777" w:rsidRDefault="0005419F" w:rsidP="0005419F">
      <w:pPr>
        <w:pStyle w:val="Akapitzlist"/>
        <w:widowControl/>
        <w:numPr>
          <w:ilvl w:val="0"/>
          <w:numId w:val="38"/>
        </w:numPr>
        <w:overflowPunct w:val="0"/>
        <w:autoSpaceDE w:val="0"/>
        <w:ind w:left="567" w:hanging="425"/>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Burmistrz Miasta i Gminy Góra Kalwaria</w:t>
      </w:r>
    </w:p>
    <w:p w:rsidR="00703777" w:rsidRDefault="003E5E1D">
      <w:pPr>
        <w:widowControl/>
        <w:overflowPunct w:val="0"/>
        <w:autoSpaceDE w:val="0"/>
        <w:ind w:left="737" w:hanging="340"/>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 xml:space="preserve">   ul.  </w:t>
      </w:r>
      <w:r w:rsidR="0005419F">
        <w:rPr>
          <w:rFonts w:ascii="Times New Roman" w:eastAsia="Times New Roman" w:hAnsi="Times New Roman" w:cs="Times New Roman"/>
          <w:bCs/>
          <w:color w:val="000000"/>
          <w:lang w:bidi="ar-SA"/>
        </w:rPr>
        <w:t xml:space="preserve">3 Maja 10, 05-530 Góra Kalwaria                                                   </w:t>
      </w:r>
      <w:r w:rsidR="00774DD8">
        <w:rPr>
          <w:rFonts w:ascii="Times New Roman" w:eastAsia="Times New Roman" w:hAnsi="Times New Roman" w:cs="Times New Roman"/>
          <w:bCs/>
          <w:color w:val="000000"/>
          <w:lang w:bidi="ar-SA"/>
        </w:rPr>
        <w:t xml:space="preserve">   </w:t>
      </w:r>
      <w:r>
        <w:rPr>
          <w:rFonts w:ascii="Times New Roman" w:eastAsia="Times New Roman" w:hAnsi="Times New Roman" w:cs="Times New Roman"/>
          <w:bCs/>
          <w:color w:val="000000"/>
          <w:lang w:bidi="ar-SA"/>
        </w:rPr>
        <w:t>(dec. ostateczna)</w:t>
      </w:r>
    </w:p>
    <w:p w:rsidR="00703777" w:rsidRDefault="00703777">
      <w:pPr>
        <w:suppressAutoHyphens w:val="0"/>
        <w:ind w:firstLine="709"/>
        <w:jc w:val="both"/>
      </w:pPr>
    </w:p>
    <w:p w:rsidR="00703777" w:rsidRDefault="003E5E1D">
      <w:pPr>
        <w:suppressAutoHyphens w:val="0"/>
        <w:ind w:firstLine="709"/>
        <w:jc w:val="both"/>
      </w:pPr>
      <w:r>
        <w:t xml:space="preserve">Informacja  o niniejszej  decyzji i o możliwościach  zapoznania  się z jej  treścią  oraz dokumentacją sprawy podlega podaniu do publicznej wiadomości zgodnie z art. 72 ust. 6 ustawy z dnia 3 października 2008 r. o udostępnianiu informacji o środowisku i jego ochronie, udziale społeczeństwa w ochronie środowiska oraz o ocenach oddziaływania na środowisko. </w:t>
      </w:r>
    </w:p>
    <w:p w:rsidR="00703777" w:rsidRDefault="00703777">
      <w:pPr>
        <w:widowControl/>
        <w:rPr>
          <w:rFonts w:ascii="Times New Roman" w:eastAsia="Times New Roman" w:hAnsi="Times New Roman" w:cs="Times New Roman"/>
          <w:i/>
          <w:iCs/>
          <w:lang w:bidi="ar-SA"/>
        </w:rPr>
      </w:pPr>
    </w:p>
    <w:sectPr w:rsidR="00703777">
      <w:footerReference w:type="default" r:id="rId11"/>
      <w:pgSz w:w="11906" w:h="16838"/>
      <w:pgMar w:top="1417" w:right="1417" w:bottom="2039" w:left="1417" w:header="708" w:footer="89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387" w:rsidRDefault="00601387">
      <w:r>
        <w:separator/>
      </w:r>
    </w:p>
  </w:endnote>
  <w:endnote w:type="continuationSeparator" w:id="0">
    <w:p w:rsidR="00601387" w:rsidRDefault="00601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E1D" w:rsidRDefault="003E5E1D">
    <w:pPr>
      <w:pStyle w:val="Styl1"/>
    </w:pPr>
  </w:p>
  <w:p w:rsidR="003E5E1D" w:rsidRDefault="003E5E1D">
    <w:pPr>
      <w:pStyle w:val="Standard"/>
      <w:widowControl w:val="0"/>
      <w:tabs>
        <w:tab w:val="center" w:pos="4536"/>
        <w:tab w:val="right" w:pos="9072"/>
        <w:tab w:val="right" w:pos="9639"/>
      </w:tabs>
    </w:pPr>
    <w:r>
      <w:rPr>
        <w:b/>
      </w:rPr>
      <w:t>ARB.6740.</w:t>
    </w:r>
    <w:r w:rsidR="00AD3A51">
      <w:rPr>
        <w:b/>
      </w:rPr>
      <w:t>1060</w:t>
    </w:r>
    <w:r>
      <w:rPr>
        <w:b/>
      </w:rPr>
      <w:t>.202</w:t>
    </w:r>
    <w:r w:rsidR="00AD3A51">
      <w:rPr>
        <w:b/>
      </w:rPr>
      <w:t>2</w:t>
    </w:r>
    <w:r>
      <w:rPr>
        <w:b/>
      </w:rPr>
      <w:t>. PK</w:t>
    </w:r>
  </w:p>
  <w:p w:rsidR="003E5E1D" w:rsidRDefault="003E5E1D">
    <w:pPr>
      <w:pStyle w:val="Standard"/>
      <w:widowControl w:val="0"/>
      <w:tabs>
        <w:tab w:val="center" w:pos="4536"/>
        <w:tab w:val="right" w:pos="9072"/>
        <w:tab w:val="right" w:pos="9639"/>
      </w:tabs>
      <w:jc w:val="right"/>
    </w:pPr>
    <w:r>
      <w:t xml:space="preserve">Strona </w:t>
    </w:r>
    <w:r>
      <w:rPr>
        <w:shd w:val="clear" w:color="auto" w:fill="FFFFFF"/>
      </w:rPr>
      <w:fldChar w:fldCharType="begin"/>
    </w:r>
    <w:r>
      <w:rPr>
        <w:shd w:val="clear" w:color="auto" w:fill="FFFFFF"/>
      </w:rPr>
      <w:instrText xml:space="preserve"> PAGE </w:instrText>
    </w:r>
    <w:r>
      <w:rPr>
        <w:shd w:val="clear" w:color="auto" w:fill="FFFFFF"/>
      </w:rPr>
      <w:fldChar w:fldCharType="separate"/>
    </w:r>
    <w:r w:rsidR="00457D7F">
      <w:rPr>
        <w:noProof/>
        <w:shd w:val="clear" w:color="auto" w:fill="FFFFFF"/>
      </w:rPr>
      <w:t>2</w:t>
    </w:r>
    <w:r>
      <w:rPr>
        <w:shd w:val="clear" w:color="auto" w:fill="FFFFFF"/>
      </w:rPr>
      <w:fldChar w:fldCharType="end"/>
    </w:r>
    <w:r>
      <w:t>/1</w:t>
    </w:r>
    <w:r w:rsidR="00CC4365">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387" w:rsidRDefault="00601387">
      <w:r>
        <w:rPr>
          <w:color w:val="000000"/>
        </w:rPr>
        <w:separator/>
      </w:r>
    </w:p>
  </w:footnote>
  <w:footnote w:type="continuationSeparator" w:id="0">
    <w:p w:rsidR="00601387" w:rsidRDefault="006013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A"/>
    <w:multiLevelType w:val="multilevel"/>
    <w:tmpl w:val="000000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E"/>
    <w:multiLevelType w:val="multilevel"/>
    <w:tmpl w:val="0000000E"/>
    <w:lvl w:ilvl="0">
      <w:start w:val="2"/>
      <w:numFmt w:val="decimal"/>
      <w:lvlText w:val="%1."/>
      <w:lvlJc w:val="left"/>
      <w:pPr>
        <w:tabs>
          <w:tab w:val="num" w:pos="0"/>
        </w:tabs>
        <w:ind w:left="777" w:hanging="360"/>
      </w:pPr>
    </w:lvl>
    <w:lvl w:ilvl="1">
      <w:start w:val="1"/>
      <w:numFmt w:val="decimal"/>
      <w:lvlText w:val="%2."/>
      <w:lvlJc w:val="left"/>
      <w:pPr>
        <w:tabs>
          <w:tab w:val="num" w:pos="0"/>
        </w:tabs>
        <w:ind w:left="1137" w:hanging="360"/>
      </w:pPr>
    </w:lvl>
    <w:lvl w:ilvl="2">
      <w:start w:val="1"/>
      <w:numFmt w:val="decimal"/>
      <w:lvlText w:val="%3."/>
      <w:lvlJc w:val="left"/>
      <w:pPr>
        <w:tabs>
          <w:tab w:val="num" w:pos="0"/>
        </w:tabs>
        <w:ind w:left="1497" w:hanging="360"/>
      </w:pPr>
    </w:lvl>
    <w:lvl w:ilvl="3">
      <w:start w:val="1"/>
      <w:numFmt w:val="decimal"/>
      <w:lvlText w:val="%4."/>
      <w:lvlJc w:val="left"/>
      <w:pPr>
        <w:tabs>
          <w:tab w:val="num" w:pos="0"/>
        </w:tabs>
        <w:ind w:left="1857" w:hanging="360"/>
      </w:pPr>
    </w:lvl>
    <w:lvl w:ilvl="4">
      <w:start w:val="1"/>
      <w:numFmt w:val="decimal"/>
      <w:lvlText w:val="%5."/>
      <w:lvlJc w:val="left"/>
      <w:pPr>
        <w:tabs>
          <w:tab w:val="num" w:pos="0"/>
        </w:tabs>
        <w:ind w:left="2217" w:hanging="360"/>
      </w:pPr>
    </w:lvl>
    <w:lvl w:ilvl="5">
      <w:start w:val="1"/>
      <w:numFmt w:val="decimal"/>
      <w:lvlText w:val="%6."/>
      <w:lvlJc w:val="left"/>
      <w:pPr>
        <w:tabs>
          <w:tab w:val="num" w:pos="0"/>
        </w:tabs>
        <w:ind w:left="2577" w:hanging="360"/>
      </w:pPr>
    </w:lvl>
    <w:lvl w:ilvl="6">
      <w:start w:val="1"/>
      <w:numFmt w:val="decimal"/>
      <w:lvlText w:val="%7."/>
      <w:lvlJc w:val="left"/>
      <w:pPr>
        <w:tabs>
          <w:tab w:val="num" w:pos="0"/>
        </w:tabs>
        <w:ind w:left="2937" w:hanging="360"/>
      </w:pPr>
    </w:lvl>
    <w:lvl w:ilvl="7">
      <w:start w:val="1"/>
      <w:numFmt w:val="decimal"/>
      <w:lvlText w:val="%8."/>
      <w:lvlJc w:val="left"/>
      <w:pPr>
        <w:tabs>
          <w:tab w:val="num" w:pos="0"/>
        </w:tabs>
        <w:ind w:left="3297" w:hanging="360"/>
      </w:pPr>
    </w:lvl>
    <w:lvl w:ilvl="8">
      <w:start w:val="1"/>
      <w:numFmt w:val="decimal"/>
      <w:lvlText w:val="%9."/>
      <w:lvlJc w:val="left"/>
      <w:pPr>
        <w:tabs>
          <w:tab w:val="num" w:pos="0"/>
        </w:tabs>
        <w:ind w:left="3657" w:hanging="360"/>
      </w:pPr>
    </w:lvl>
  </w:abstractNum>
  <w:abstractNum w:abstractNumId="3">
    <w:nsid w:val="00A73FEC"/>
    <w:multiLevelType w:val="multilevel"/>
    <w:tmpl w:val="0E66E2EC"/>
    <w:styleLink w:val="WW8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07502849"/>
    <w:multiLevelType w:val="multilevel"/>
    <w:tmpl w:val="65B8A8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0B3A5E05"/>
    <w:multiLevelType w:val="hybridMultilevel"/>
    <w:tmpl w:val="042A279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281CBF"/>
    <w:multiLevelType w:val="multilevel"/>
    <w:tmpl w:val="FC70F436"/>
    <w:styleLink w:val="WW8Num42"/>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129058AD"/>
    <w:multiLevelType w:val="multilevel"/>
    <w:tmpl w:val="80F82398"/>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8">
    <w:nsid w:val="15010DF3"/>
    <w:multiLevelType w:val="multilevel"/>
    <w:tmpl w:val="BF2439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F4A1462"/>
    <w:multiLevelType w:val="multilevel"/>
    <w:tmpl w:val="35E02A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245C1125"/>
    <w:multiLevelType w:val="multilevel"/>
    <w:tmpl w:val="FD9CE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61A5AED"/>
    <w:multiLevelType w:val="multilevel"/>
    <w:tmpl w:val="203273F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6FC56EF"/>
    <w:multiLevelType w:val="multilevel"/>
    <w:tmpl w:val="D056F3FA"/>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3">
    <w:nsid w:val="274C38FB"/>
    <w:multiLevelType w:val="multilevel"/>
    <w:tmpl w:val="62106870"/>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4">
    <w:nsid w:val="27A92758"/>
    <w:multiLevelType w:val="multilevel"/>
    <w:tmpl w:val="37AE966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5">
    <w:nsid w:val="29364986"/>
    <w:multiLevelType w:val="hybridMultilevel"/>
    <w:tmpl w:val="CB982FC6"/>
    <w:lvl w:ilvl="0" w:tplc="4816F5B4">
      <w:start w:val="1"/>
      <w:numFmt w:val="decimal"/>
      <w:lvlText w:val="%1)"/>
      <w:lvlJc w:val="left"/>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DE86319"/>
    <w:multiLevelType w:val="multilevel"/>
    <w:tmpl w:val="E7507D20"/>
    <w:lvl w:ilvl="0">
      <w:numFmt w:val="bullet"/>
      <w:lvlText w:val=""/>
      <w:lvlJc w:val="left"/>
      <w:pPr>
        <w:ind w:left="1068" w:hanging="360"/>
      </w:pPr>
      <w:rPr>
        <w:rFonts w:ascii="Symbol" w:hAnsi="Symbol"/>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7">
    <w:nsid w:val="30044AD3"/>
    <w:multiLevelType w:val="multilevel"/>
    <w:tmpl w:val="8A402EA4"/>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8">
    <w:nsid w:val="37685032"/>
    <w:multiLevelType w:val="multilevel"/>
    <w:tmpl w:val="A686E9C4"/>
    <w:styleLink w:val="WW8Num3"/>
    <w:lvl w:ilvl="0">
      <w:start w:val="1"/>
      <w:numFmt w:val="lowerLetter"/>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9">
    <w:nsid w:val="40EA14A1"/>
    <w:multiLevelType w:val="multilevel"/>
    <w:tmpl w:val="528E84E0"/>
    <w:lvl w:ilvl="0">
      <w:start w:val="1"/>
      <w:numFmt w:val="upperRoman"/>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460621C"/>
    <w:multiLevelType w:val="multilevel"/>
    <w:tmpl w:val="54E089BA"/>
    <w:lvl w:ilvl="0">
      <w:start w:val="1"/>
      <w:numFmt w:val="decimal"/>
      <w:lvlText w:val="%1."/>
      <w:lvlJc w:val="left"/>
      <w:pPr>
        <w:ind w:left="777" w:hanging="360"/>
      </w:pPr>
    </w:lvl>
    <w:lvl w:ilvl="1">
      <w:start w:val="1"/>
      <w:numFmt w:val="decimal"/>
      <w:lvlText w:val="%2."/>
      <w:lvlJc w:val="left"/>
      <w:pPr>
        <w:ind w:left="1137" w:hanging="360"/>
      </w:pPr>
    </w:lvl>
    <w:lvl w:ilvl="2">
      <w:start w:val="1"/>
      <w:numFmt w:val="decimal"/>
      <w:lvlText w:val="%3."/>
      <w:lvlJc w:val="left"/>
      <w:pPr>
        <w:ind w:left="1497" w:hanging="360"/>
      </w:pPr>
    </w:lvl>
    <w:lvl w:ilvl="3">
      <w:start w:val="1"/>
      <w:numFmt w:val="decimal"/>
      <w:lvlText w:val="%4."/>
      <w:lvlJc w:val="left"/>
      <w:pPr>
        <w:ind w:left="1857" w:hanging="360"/>
      </w:pPr>
    </w:lvl>
    <w:lvl w:ilvl="4">
      <w:start w:val="1"/>
      <w:numFmt w:val="decimal"/>
      <w:lvlText w:val="%5."/>
      <w:lvlJc w:val="left"/>
      <w:pPr>
        <w:ind w:left="2217" w:hanging="360"/>
      </w:pPr>
    </w:lvl>
    <w:lvl w:ilvl="5">
      <w:start w:val="1"/>
      <w:numFmt w:val="decimal"/>
      <w:lvlText w:val="%6."/>
      <w:lvlJc w:val="left"/>
      <w:pPr>
        <w:ind w:left="2577" w:hanging="360"/>
      </w:pPr>
    </w:lvl>
    <w:lvl w:ilvl="6">
      <w:start w:val="1"/>
      <w:numFmt w:val="decimal"/>
      <w:lvlText w:val="%7."/>
      <w:lvlJc w:val="left"/>
      <w:pPr>
        <w:ind w:left="2937" w:hanging="360"/>
      </w:pPr>
    </w:lvl>
    <w:lvl w:ilvl="7">
      <w:start w:val="1"/>
      <w:numFmt w:val="decimal"/>
      <w:lvlText w:val="%8."/>
      <w:lvlJc w:val="left"/>
      <w:pPr>
        <w:ind w:left="3297" w:hanging="360"/>
      </w:pPr>
    </w:lvl>
    <w:lvl w:ilvl="8">
      <w:start w:val="1"/>
      <w:numFmt w:val="decimal"/>
      <w:lvlText w:val="%9."/>
      <w:lvlJc w:val="left"/>
      <w:pPr>
        <w:ind w:left="3657" w:hanging="360"/>
      </w:pPr>
    </w:lvl>
  </w:abstractNum>
  <w:abstractNum w:abstractNumId="21">
    <w:nsid w:val="46B00E00"/>
    <w:multiLevelType w:val="multilevel"/>
    <w:tmpl w:val="AEE87002"/>
    <w:styleLink w:val="WW8Num43"/>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nsid w:val="482B69E5"/>
    <w:multiLevelType w:val="multilevel"/>
    <w:tmpl w:val="9AD2FD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8F06E05"/>
    <w:multiLevelType w:val="multilevel"/>
    <w:tmpl w:val="F56851B6"/>
    <w:styleLink w:val="WW8Num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nsid w:val="4E350E62"/>
    <w:multiLevelType w:val="multilevel"/>
    <w:tmpl w:val="DE0C0EE2"/>
    <w:styleLink w:val="WW8Num41"/>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511F644F"/>
    <w:multiLevelType w:val="multilevel"/>
    <w:tmpl w:val="F0F0B6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5572D99"/>
    <w:multiLevelType w:val="multilevel"/>
    <w:tmpl w:val="237EF6D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7">
    <w:nsid w:val="5B3705CF"/>
    <w:multiLevelType w:val="multilevel"/>
    <w:tmpl w:val="E91ED2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FB90378"/>
    <w:multiLevelType w:val="multilevel"/>
    <w:tmpl w:val="97B0CC42"/>
    <w:styleLink w:val="WW8Num4"/>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nsid w:val="603F2A87"/>
    <w:multiLevelType w:val="hybridMultilevel"/>
    <w:tmpl w:val="51C8F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53F6619"/>
    <w:multiLevelType w:val="multilevel"/>
    <w:tmpl w:val="1528F2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nsid w:val="67A1596A"/>
    <w:multiLevelType w:val="multilevel"/>
    <w:tmpl w:val="E4A2ACB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2">
    <w:nsid w:val="686951F2"/>
    <w:multiLevelType w:val="multilevel"/>
    <w:tmpl w:val="E74E2D3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B377117"/>
    <w:multiLevelType w:val="multilevel"/>
    <w:tmpl w:val="91E0C398"/>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nsid w:val="6B7C30FF"/>
    <w:multiLevelType w:val="multilevel"/>
    <w:tmpl w:val="A8BCA0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nsid w:val="6D7E498E"/>
    <w:multiLevelType w:val="multilevel"/>
    <w:tmpl w:val="3BBE49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nsid w:val="6F166B94"/>
    <w:multiLevelType w:val="multilevel"/>
    <w:tmpl w:val="B120A110"/>
    <w:styleLink w:val="WW8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nsid w:val="70DC79CE"/>
    <w:multiLevelType w:val="multilevel"/>
    <w:tmpl w:val="2B70D3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nsid w:val="70F36180"/>
    <w:multiLevelType w:val="multilevel"/>
    <w:tmpl w:val="887ED8A2"/>
    <w:lvl w:ilvl="0">
      <w:start w:val="1"/>
      <w:numFmt w:val="decimal"/>
      <w:lvlText w:val="%1."/>
      <w:lvlJc w:val="left"/>
      <w:pPr>
        <w:ind w:left="777" w:hanging="360"/>
      </w:pPr>
    </w:lvl>
    <w:lvl w:ilvl="1">
      <w:start w:val="1"/>
      <w:numFmt w:val="decimal"/>
      <w:lvlText w:val="%2."/>
      <w:lvlJc w:val="left"/>
      <w:pPr>
        <w:ind w:left="1137" w:hanging="360"/>
      </w:pPr>
    </w:lvl>
    <w:lvl w:ilvl="2">
      <w:start w:val="1"/>
      <w:numFmt w:val="decimal"/>
      <w:lvlText w:val="%3."/>
      <w:lvlJc w:val="left"/>
      <w:pPr>
        <w:ind w:left="1497" w:hanging="360"/>
      </w:pPr>
    </w:lvl>
    <w:lvl w:ilvl="3">
      <w:start w:val="1"/>
      <w:numFmt w:val="decimal"/>
      <w:lvlText w:val="%4."/>
      <w:lvlJc w:val="left"/>
      <w:pPr>
        <w:ind w:left="1857" w:hanging="360"/>
      </w:pPr>
    </w:lvl>
    <w:lvl w:ilvl="4">
      <w:start w:val="1"/>
      <w:numFmt w:val="decimal"/>
      <w:lvlText w:val="%5."/>
      <w:lvlJc w:val="left"/>
      <w:pPr>
        <w:ind w:left="2217" w:hanging="360"/>
      </w:pPr>
    </w:lvl>
    <w:lvl w:ilvl="5">
      <w:start w:val="1"/>
      <w:numFmt w:val="decimal"/>
      <w:lvlText w:val="%6."/>
      <w:lvlJc w:val="left"/>
      <w:pPr>
        <w:ind w:left="2577" w:hanging="360"/>
      </w:pPr>
    </w:lvl>
    <w:lvl w:ilvl="6">
      <w:start w:val="1"/>
      <w:numFmt w:val="decimal"/>
      <w:lvlText w:val="%7."/>
      <w:lvlJc w:val="left"/>
      <w:pPr>
        <w:ind w:left="2937" w:hanging="360"/>
      </w:pPr>
    </w:lvl>
    <w:lvl w:ilvl="7">
      <w:start w:val="1"/>
      <w:numFmt w:val="decimal"/>
      <w:lvlText w:val="%8."/>
      <w:lvlJc w:val="left"/>
      <w:pPr>
        <w:ind w:left="3297" w:hanging="360"/>
      </w:pPr>
    </w:lvl>
    <w:lvl w:ilvl="8">
      <w:start w:val="1"/>
      <w:numFmt w:val="decimal"/>
      <w:lvlText w:val="%9."/>
      <w:lvlJc w:val="left"/>
      <w:pPr>
        <w:ind w:left="3657" w:hanging="360"/>
      </w:pPr>
    </w:lvl>
  </w:abstractNum>
  <w:abstractNum w:abstractNumId="39">
    <w:nsid w:val="72BC678B"/>
    <w:multiLevelType w:val="multilevel"/>
    <w:tmpl w:val="15662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3CD5ED1"/>
    <w:multiLevelType w:val="multilevel"/>
    <w:tmpl w:val="94A85AA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abstractNumId w:val="3"/>
  </w:num>
  <w:num w:numId="2">
    <w:abstractNumId w:val="21"/>
  </w:num>
  <w:num w:numId="3">
    <w:abstractNumId w:val="6"/>
  </w:num>
  <w:num w:numId="4">
    <w:abstractNumId w:val="24"/>
  </w:num>
  <w:num w:numId="5">
    <w:abstractNumId w:val="33"/>
  </w:num>
  <w:num w:numId="6">
    <w:abstractNumId w:val="36"/>
  </w:num>
  <w:num w:numId="7">
    <w:abstractNumId w:val="12"/>
  </w:num>
  <w:num w:numId="8">
    <w:abstractNumId w:val="23"/>
  </w:num>
  <w:num w:numId="9">
    <w:abstractNumId w:val="18"/>
  </w:num>
  <w:num w:numId="10">
    <w:abstractNumId w:val="28"/>
  </w:num>
  <w:num w:numId="11">
    <w:abstractNumId w:val="7"/>
  </w:num>
  <w:num w:numId="12">
    <w:abstractNumId w:val="9"/>
  </w:num>
  <w:num w:numId="13">
    <w:abstractNumId w:val="32"/>
  </w:num>
  <w:num w:numId="14">
    <w:abstractNumId w:val="40"/>
  </w:num>
  <w:num w:numId="15">
    <w:abstractNumId w:val="34"/>
  </w:num>
  <w:num w:numId="16">
    <w:abstractNumId w:val="30"/>
  </w:num>
  <w:num w:numId="17">
    <w:abstractNumId w:val="8"/>
  </w:num>
  <w:num w:numId="18">
    <w:abstractNumId w:val="10"/>
  </w:num>
  <w:num w:numId="19">
    <w:abstractNumId w:val="19"/>
  </w:num>
  <w:num w:numId="20">
    <w:abstractNumId w:val="38"/>
  </w:num>
  <w:num w:numId="21">
    <w:abstractNumId w:val="17"/>
  </w:num>
  <w:num w:numId="22">
    <w:abstractNumId w:val="27"/>
  </w:num>
  <w:num w:numId="23">
    <w:abstractNumId w:val="16"/>
  </w:num>
  <w:num w:numId="24">
    <w:abstractNumId w:val="31"/>
  </w:num>
  <w:num w:numId="25">
    <w:abstractNumId w:val="37"/>
  </w:num>
  <w:num w:numId="26">
    <w:abstractNumId w:val="11"/>
  </w:num>
  <w:num w:numId="27">
    <w:abstractNumId w:val="14"/>
  </w:num>
  <w:num w:numId="28">
    <w:abstractNumId w:val="35"/>
  </w:num>
  <w:num w:numId="29">
    <w:abstractNumId w:val="4"/>
  </w:num>
  <w:num w:numId="30">
    <w:abstractNumId w:val="25"/>
  </w:num>
  <w:num w:numId="31">
    <w:abstractNumId w:val="0"/>
  </w:num>
  <w:num w:numId="32">
    <w:abstractNumId w:val="1"/>
  </w:num>
  <w:num w:numId="33">
    <w:abstractNumId w:val="39"/>
  </w:num>
  <w:num w:numId="34">
    <w:abstractNumId w:val="20"/>
  </w:num>
  <w:num w:numId="35">
    <w:abstractNumId w:val="13"/>
  </w:num>
  <w:num w:numId="36">
    <w:abstractNumId w:val="2"/>
  </w:num>
  <w:num w:numId="37">
    <w:abstractNumId w:val="22"/>
  </w:num>
  <w:num w:numId="38">
    <w:abstractNumId w:val="5"/>
  </w:num>
  <w:num w:numId="39">
    <w:abstractNumId w:val="15"/>
  </w:num>
  <w:num w:numId="40">
    <w:abstractNumId w:val="26"/>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777"/>
    <w:rsid w:val="0000575A"/>
    <w:rsid w:val="0005419F"/>
    <w:rsid w:val="000601CA"/>
    <w:rsid w:val="00092984"/>
    <w:rsid w:val="0018174A"/>
    <w:rsid w:val="00212336"/>
    <w:rsid w:val="00296E53"/>
    <w:rsid w:val="002B523C"/>
    <w:rsid w:val="002B5E0E"/>
    <w:rsid w:val="002D389C"/>
    <w:rsid w:val="002F4E52"/>
    <w:rsid w:val="00324CF3"/>
    <w:rsid w:val="00344102"/>
    <w:rsid w:val="00366680"/>
    <w:rsid w:val="003E5E1D"/>
    <w:rsid w:val="00415BE5"/>
    <w:rsid w:val="0043505C"/>
    <w:rsid w:val="00457D7F"/>
    <w:rsid w:val="004A71B9"/>
    <w:rsid w:val="004C626C"/>
    <w:rsid w:val="005A722A"/>
    <w:rsid w:val="00601387"/>
    <w:rsid w:val="00703777"/>
    <w:rsid w:val="00774DD8"/>
    <w:rsid w:val="008856E4"/>
    <w:rsid w:val="008D73B3"/>
    <w:rsid w:val="00976C4C"/>
    <w:rsid w:val="009871F5"/>
    <w:rsid w:val="00A71F3A"/>
    <w:rsid w:val="00AD3A51"/>
    <w:rsid w:val="00C15DEC"/>
    <w:rsid w:val="00C66A26"/>
    <w:rsid w:val="00CC4365"/>
    <w:rsid w:val="00CD0283"/>
    <w:rsid w:val="00D52C5E"/>
    <w:rsid w:val="00E91964"/>
    <w:rsid w:val="00EE76F2"/>
    <w:rsid w:val="00F042AC"/>
    <w:rsid w:val="00F07EB8"/>
    <w:rsid w:val="00F36C89"/>
    <w:rsid w:val="00F62F04"/>
    <w:rsid w:val="00FE48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ucida Sans Unicode"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Normalny"/>
    <w:next w:val="Normalny"/>
    <w:uiPriority w:val="9"/>
    <w:qFormat/>
    <w:pPr>
      <w:keepNext/>
      <w:keepLines/>
      <w:spacing w:before="240"/>
      <w:outlineLvl w:val="0"/>
    </w:pPr>
    <w:rPr>
      <w:rFonts w:ascii="Calibri Light" w:eastAsia="Times New Roman" w:hAnsi="Calibri Light"/>
      <w:color w:val="2E74B5"/>
      <w:sz w:val="32"/>
      <w:szCs w:val="29"/>
    </w:rPr>
  </w:style>
  <w:style w:type="paragraph" w:styleId="Nagwek3">
    <w:name w:val="heading 3"/>
    <w:basedOn w:val="Standard"/>
    <w:next w:val="Standard"/>
    <w:uiPriority w:val="9"/>
    <w:semiHidden/>
    <w:unhideWhenUsed/>
    <w:qFormat/>
    <w:pPr>
      <w:keepNext/>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Nagwek10">
    <w:name w:val="Nagłówek1"/>
    <w:basedOn w:val="Standard"/>
    <w:next w:val="Textbody"/>
    <w:pPr>
      <w:keepNext/>
      <w:spacing w:before="240" w:after="120"/>
    </w:pPr>
    <w:rPr>
      <w:rFonts w:ascii="Arial" w:eastAsia="Arial Unicode MS" w:hAnsi="Arial" w:cs="Tahoma"/>
      <w:sz w:val="28"/>
      <w:szCs w:val="28"/>
    </w:rPr>
  </w:style>
  <w:style w:type="paragraph" w:customStyle="1" w:styleId="Podpis1">
    <w:name w:val="Podpis1"/>
    <w:basedOn w:val="Standard"/>
    <w:pPr>
      <w:suppressLineNumbers/>
      <w:spacing w:before="120" w:after="120"/>
    </w:pPr>
    <w:rPr>
      <w:rFonts w:cs="Tahoma"/>
      <w:i/>
      <w:iCs/>
    </w:rPr>
  </w:style>
  <w:style w:type="paragraph" w:styleId="Tekstdymka">
    <w:name w:val="Balloon Text"/>
    <w:basedOn w:val="Standard"/>
    <w:rPr>
      <w:rFonts w:ascii="Tahoma" w:eastAsia="Tahoma" w:hAnsi="Tahoma" w:cs="Tahoma"/>
      <w:sz w:val="16"/>
      <w:szCs w:val="16"/>
    </w:rPr>
  </w:style>
  <w:style w:type="paragraph" w:styleId="Tekstpodstawowy2">
    <w:name w:val="Body Text 2"/>
    <w:basedOn w:val="Standard"/>
    <w:pPr>
      <w:overflowPunct w:val="0"/>
      <w:autoSpaceDE w:val="0"/>
      <w:ind w:left="284" w:hanging="284"/>
      <w:jc w:val="both"/>
    </w:pPr>
    <w:rPr>
      <w:sz w:val="28"/>
      <w:szCs w:val="20"/>
    </w:rPr>
  </w:style>
  <w:style w:type="paragraph" w:customStyle="1" w:styleId="NormalnyWyjustowany">
    <w:name w:val="Normalny + Wyjustowany"/>
    <w:basedOn w:val="Standard"/>
    <w:pPr>
      <w:tabs>
        <w:tab w:val="left" w:pos="852"/>
      </w:tabs>
      <w:overflowPunct w:val="0"/>
      <w:autoSpaceDE w:val="0"/>
      <w:ind w:left="426" w:hanging="426"/>
      <w:jc w:val="both"/>
    </w:pPr>
    <w:rPr>
      <w:sz w:val="20"/>
      <w:szCs w:val="20"/>
    </w:rPr>
  </w:style>
  <w:style w:type="paragraph" w:styleId="Stopka">
    <w:name w:val="footer"/>
    <w:basedOn w:val="Standard"/>
    <w:pPr>
      <w:tabs>
        <w:tab w:val="center" w:pos="4536"/>
        <w:tab w:val="right" w:pos="9072"/>
      </w:tabs>
    </w:pPr>
  </w:style>
  <w:style w:type="paragraph" w:customStyle="1" w:styleId="Endnote">
    <w:name w:val="Endnote"/>
    <w:basedOn w:val="Standard"/>
    <w:rPr>
      <w:sz w:val="20"/>
      <w:szCs w:val="20"/>
    </w:rPr>
  </w:style>
  <w:style w:type="paragraph" w:customStyle="1" w:styleId="Framecontents">
    <w:name w:val="Frame contents"/>
    <w:basedOn w:val="Textbody"/>
  </w:style>
  <w:style w:type="paragraph" w:customStyle="1" w:styleId="Styl1">
    <w:name w:val="Styl1"/>
    <w:basedOn w:val="Standard"/>
    <w:pPr>
      <w:pBdr>
        <w:top w:val="single" w:sz="4" w:space="1" w:color="000000"/>
      </w:pBdr>
    </w:pPr>
  </w:style>
  <w:style w:type="paragraph" w:styleId="Nagwek">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EndnoteSymbol">
    <w:name w:val="Endnote Symbol"/>
    <w:rPr>
      <w:position w:val="0"/>
      <w:vertAlign w:val="superscript"/>
    </w:rPr>
  </w:style>
  <w:style w:type="character" w:customStyle="1" w:styleId="StopkaZnak">
    <w:name w:val="Stopka Znak"/>
    <w:rPr>
      <w:sz w:val="24"/>
      <w:szCs w:val="24"/>
    </w:rPr>
  </w:style>
  <w:style w:type="character" w:styleId="Tytuksiki">
    <w:name w:val="Book Title"/>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NumberingSymbols">
    <w:name w:val="Numbering Symbols"/>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styleId="Hipercze">
    <w:name w:val="Hyperlink"/>
    <w:rPr>
      <w:color w:val="0000FF"/>
      <w:u w:val="single"/>
    </w:rPr>
  </w:style>
  <w:style w:type="character" w:customStyle="1" w:styleId="highlight">
    <w:name w:val="highlight"/>
    <w:basedOn w:val="Domylnaczcionkaakapitu"/>
  </w:style>
  <w:style w:type="paragraph" w:styleId="Akapitzlist">
    <w:name w:val="List Paragraph"/>
    <w:basedOn w:val="Normalny"/>
    <w:qFormat/>
    <w:pPr>
      <w:ind w:left="720"/>
    </w:pPr>
    <w:rPr>
      <w:szCs w:val="21"/>
    </w:rPr>
  </w:style>
  <w:style w:type="paragraph" w:styleId="Tekstprzypisukocowego">
    <w:name w:val="endnote text"/>
    <w:basedOn w:val="Normalny"/>
    <w:rPr>
      <w:sz w:val="20"/>
      <w:szCs w:val="18"/>
    </w:rPr>
  </w:style>
  <w:style w:type="character" w:customStyle="1" w:styleId="TekstprzypisukocowegoZnak">
    <w:name w:val="Tekst przypisu końcowego Znak"/>
    <w:rPr>
      <w:sz w:val="20"/>
      <w:szCs w:val="18"/>
    </w:rPr>
  </w:style>
  <w:style w:type="character" w:styleId="Odwoanieprzypisukocowego">
    <w:name w:val="endnote reference"/>
    <w:rPr>
      <w:position w:val="0"/>
      <w:vertAlign w:val="superscript"/>
    </w:rPr>
  </w:style>
  <w:style w:type="paragraph" w:customStyle="1" w:styleId="Normalny11pt">
    <w:name w:val="Normalny + 11 pt"/>
    <w:basedOn w:val="Standard"/>
    <w:pPr>
      <w:tabs>
        <w:tab w:val="left" w:pos="1146"/>
        <w:tab w:val="left" w:pos="1440"/>
      </w:tabs>
      <w:overflowPunct w:val="0"/>
      <w:autoSpaceDE w:val="0"/>
      <w:ind w:left="720" w:hanging="360"/>
      <w:jc w:val="both"/>
    </w:pPr>
    <w:rPr>
      <w:sz w:val="22"/>
      <w:szCs w:val="22"/>
    </w:rPr>
  </w:style>
  <w:style w:type="character" w:styleId="Pogrubienie">
    <w:name w:val="Strong"/>
    <w:rPr>
      <w:b/>
      <w:bCs/>
    </w:rPr>
  </w:style>
  <w:style w:type="character" w:customStyle="1" w:styleId="Nagwek1Znak">
    <w:name w:val="Nagłówek 1 Znak"/>
    <w:rPr>
      <w:rFonts w:ascii="Calibri Light" w:eastAsia="Times New Roman" w:hAnsi="Calibri Light"/>
      <w:color w:val="2E74B5"/>
      <w:sz w:val="32"/>
      <w:szCs w:val="29"/>
    </w:rPr>
  </w:style>
  <w:style w:type="paragraph" w:customStyle="1" w:styleId="western">
    <w:name w:val="western"/>
    <w:basedOn w:val="Normalny"/>
    <w:pPr>
      <w:widowControl/>
      <w:suppressAutoHyphens w:val="0"/>
      <w:spacing w:before="100" w:after="119"/>
      <w:textAlignment w:val="auto"/>
    </w:pPr>
    <w:rPr>
      <w:rFonts w:ascii="Times New Roman" w:eastAsia="Times New Roman" w:hAnsi="Times New Roman" w:cs="Times New Roman"/>
      <w:kern w:val="0"/>
      <w:lang w:eastAsia="pl-PL" w:bidi="ar-SA"/>
    </w:rPr>
  </w:style>
  <w:style w:type="character" w:customStyle="1" w:styleId="alb">
    <w:name w:val="a_lb"/>
    <w:basedOn w:val="Domylnaczcionkaakapitu"/>
  </w:style>
  <w:style w:type="character" w:customStyle="1" w:styleId="Domylnaczcionkaakapitu2">
    <w:name w:val="Domyślna czcionka akapitu2"/>
    <w:rsid w:val="00AD3A51"/>
  </w:style>
  <w:style w:type="paragraph" w:customStyle="1" w:styleId="Normalny1">
    <w:name w:val="Normalny1"/>
    <w:rsid w:val="00AD3A51"/>
    <w:pPr>
      <w:widowControl w:val="0"/>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bidi="hi-IN"/>
    </w:rPr>
  </w:style>
  <w:style w:type="table" w:styleId="Tabela-Siatka">
    <w:name w:val="Table Grid"/>
    <w:basedOn w:val="Standardowy"/>
    <w:uiPriority w:val="39"/>
    <w:rsid w:val="008D73B3"/>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pPr>
      <w:numPr>
        <w:numId w:val="1"/>
      </w:numPr>
    </w:pPr>
  </w:style>
  <w:style w:type="numbering" w:customStyle="1" w:styleId="WW8Num43">
    <w:name w:val="WW8Num43"/>
    <w:basedOn w:val="Bezlisty"/>
    <w:pPr>
      <w:numPr>
        <w:numId w:val="2"/>
      </w:numPr>
    </w:pPr>
  </w:style>
  <w:style w:type="numbering" w:customStyle="1" w:styleId="WW8Num42">
    <w:name w:val="WW8Num42"/>
    <w:basedOn w:val="Bezlisty"/>
    <w:pPr>
      <w:numPr>
        <w:numId w:val="3"/>
      </w:numPr>
    </w:pPr>
  </w:style>
  <w:style w:type="numbering" w:customStyle="1" w:styleId="WW8Num41">
    <w:name w:val="WW8Num41"/>
    <w:basedOn w:val="Bezlisty"/>
    <w:pPr>
      <w:numPr>
        <w:numId w:val="4"/>
      </w:numPr>
    </w:pPr>
  </w:style>
  <w:style w:type="numbering" w:customStyle="1" w:styleId="WW8Num32">
    <w:name w:val="WW8Num32"/>
    <w:basedOn w:val="Bezlisty"/>
    <w:pPr>
      <w:numPr>
        <w:numId w:val="5"/>
      </w:numPr>
    </w:pPr>
  </w:style>
  <w:style w:type="numbering" w:customStyle="1" w:styleId="WW8Num31">
    <w:name w:val="WW8Num31"/>
    <w:basedOn w:val="Bezlisty"/>
    <w:pPr>
      <w:numPr>
        <w:numId w:val="6"/>
      </w:numPr>
    </w:pPr>
  </w:style>
  <w:style w:type="numbering" w:customStyle="1" w:styleId="WW8Num1">
    <w:name w:val="WW8Num1"/>
    <w:basedOn w:val="Bezlisty"/>
    <w:pPr>
      <w:numPr>
        <w:numId w:val="7"/>
      </w:numPr>
    </w:pPr>
  </w:style>
  <w:style w:type="numbering" w:customStyle="1" w:styleId="WW8Num2">
    <w:name w:val="WW8Num2"/>
    <w:basedOn w:val="Bezlisty"/>
    <w:pPr>
      <w:numPr>
        <w:numId w:val="8"/>
      </w:numPr>
    </w:pPr>
  </w:style>
  <w:style w:type="numbering" w:customStyle="1" w:styleId="WW8Num3">
    <w:name w:val="WW8Num3"/>
    <w:basedOn w:val="Bezlisty"/>
    <w:pPr>
      <w:numPr>
        <w:numId w:val="9"/>
      </w:numPr>
    </w:pPr>
  </w:style>
  <w:style w:type="numbering" w:customStyle="1" w:styleId="WW8Num4">
    <w:name w:val="WW8Num4"/>
    <w:basedOn w:val="Bezlisty"/>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ucida Sans Unicode"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Normalny"/>
    <w:next w:val="Normalny"/>
    <w:uiPriority w:val="9"/>
    <w:qFormat/>
    <w:pPr>
      <w:keepNext/>
      <w:keepLines/>
      <w:spacing w:before="240"/>
      <w:outlineLvl w:val="0"/>
    </w:pPr>
    <w:rPr>
      <w:rFonts w:ascii="Calibri Light" w:eastAsia="Times New Roman" w:hAnsi="Calibri Light"/>
      <w:color w:val="2E74B5"/>
      <w:sz w:val="32"/>
      <w:szCs w:val="29"/>
    </w:rPr>
  </w:style>
  <w:style w:type="paragraph" w:styleId="Nagwek3">
    <w:name w:val="heading 3"/>
    <w:basedOn w:val="Standard"/>
    <w:next w:val="Standard"/>
    <w:uiPriority w:val="9"/>
    <w:semiHidden/>
    <w:unhideWhenUsed/>
    <w:qFormat/>
    <w:pPr>
      <w:keepNext/>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Nagwek10">
    <w:name w:val="Nagłówek1"/>
    <w:basedOn w:val="Standard"/>
    <w:next w:val="Textbody"/>
    <w:pPr>
      <w:keepNext/>
      <w:spacing w:before="240" w:after="120"/>
    </w:pPr>
    <w:rPr>
      <w:rFonts w:ascii="Arial" w:eastAsia="Arial Unicode MS" w:hAnsi="Arial" w:cs="Tahoma"/>
      <w:sz w:val="28"/>
      <w:szCs w:val="28"/>
    </w:rPr>
  </w:style>
  <w:style w:type="paragraph" w:customStyle="1" w:styleId="Podpis1">
    <w:name w:val="Podpis1"/>
    <w:basedOn w:val="Standard"/>
    <w:pPr>
      <w:suppressLineNumbers/>
      <w:spacing w:before="120" w:after="120"/>
    </w:pPr>
    <w:rPr>
      <w:rFonts w:cs="Tahoma"/>
      <w:i/>
      <w:iCs/>
    </w:rPr>
  </w:style>
  <w:style w:type="paragraph" w:styleId="Tekstdymka">
    <w:name w:val="Balloon Text"/>
    <w:basedOn w:val="Standard"/>
    <w:rPr>
      <w:rFonts w:ascii="Tahoma" w:eastAsia="Tahoma" w:hAnsi="Tahoma" w:cs="Tahoma"/>
      <w:sz w:val="16"/>
      <w:szCs w:val="16"/>
    </w:rPr>
  </w:style>
  <w:style w:type="paragraph" w:styleId="Tekstpodstawowy2">
    <w:name w:val="Body Text 2"/>
    <w:basedOn w:val="Standard"/>
    <w:pPr>
      <w:overflowPunct w:val="0"/>
      <w:autoSpaceDE w:val="0"/>
      <w:ind w:left="284" w:hanging="284"/>
      <w:jc w:val="both"/>
    </w:pPr>
    <w:rPr>
      <w:sz w:val="28"/>
      <w:szCs w:val="20"/>
    </w:rPr>
  </w:style>
  <w:style w:type="paragraph" w:customStyle="1" w:styleId="NormalnyWyjustowany">
    <w:name w:val="Normalny + Wyjustowany"/>
    <w:basedOn w:val="Standard"/>
    <w:pPr>
      <w:tabs>
        <w:tab w:val="left" w:pos="852"/>
      </w:tabs>
      <w:overflowPunct w:val="0"/>
      <w:autoSpaceDE w:val="0"/>
      <w:ind w:left="426" w:hanging="426"/>
      <w:jc w:val="both"/>
    </w:pPr>
    <w:rPr>
      <w:sz w:val="20"/>
      <w:szCs w:val="20"/>
    </w:rPr>
  </w:style>
  <w:style w:type="paragraph" w:styleId="Stopka">
    <w:name w:val="footer"/>
    <w:basedOn w:val="Standard"/>
    <w:pPr>
      <w:tabs>
        <w:tab w:val="center" w:pos="4536"/>
        <w:tab w:val="right" w:pos="9072"/>
      </w:tabs>
    </w:pPr>
  </w:style>
  <w:style w:type="paragraph" w:customStyle="1" w:styleId="Endnote">
    <w:name w:val="Endnote"/>
    <w:basedOn w:val="Standard"/>
    <w:rPr>
      <w:sz w:val="20"/>
      <w:szCs w:val="20"/>
    </w:rPr>
  </w:style>
  <w:style w:type="paragraph" w:customStyle="1" w:styleId="Framecontents">
    <w:name w:val="Frame contents"/>
    <w:basedOn w:val="Textbody"/>
  </w:style>
  <w:style w:type="paragraph" w:customStyle="1" w:styleId="Styl1">
    <w:name w:val="Styl1"/>
    <w:basedOn w:val="Standard"/>
    <w:pPr>
      <w:pBdr>
        <w:top w:val="single" w:sz="4" w:space="1" w:color="000000"/>
      </w:pBdr>
    </w:pPr>
  </w:style>
  <w:style w:type="paragraph" w:styleId="Nagwek">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EndnoteSymbol">
    <w:name w:val="Endnote Symbol"/>
    <w:rPr>
      <w:position w:val="0"/>
      <w:vertAlign w:val="superscript"/>
    </w:rPr>
  </w:style>
  <w:style w:type="character" w:customStyle="1" w:styleId="StopkaZnak">
    <w:name w:val="Stopka Znak"/>
    <w:rPr>
      <w:sz w:val="24"/>
      <w:szCs w:val="24"/>
    </w:rPr>
  </w:style>
  <w:style w:type="character" w:styleId="Tytuksiki">
    <w:name w:val="Book Title"/>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NumberingSymbols">
    <w:name w:val="Numbering Symbols"/>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styleId="Hipercze">
    <w:name w:val="Hyperlink"/>
    <w:rPr>
      <w:color w:val="0000FF"/>
      <w:u w:val="single"/>
    </w:rPr>
  </w:style>
  <w:style w:type="character" w:customStyle="1" w:styleId="highlight">
    <w:name w:val="highlight"/>
    <w:basedOn w:val="Domylnaczcionkaakapitu"/>
  </w:style>
  <w:style w:type="paragraph" w:styleId="Akapitzlist">
    <w:name w:val="List Paragraph"/>
    <w:basedOn w:val="Normalny"/>
    <w:qFormat/>
    <w:pPr>
      <w:ind w:left="720"/>
    </w:pPr>
    <w:rPr>
      <w:szCs w:val="21"/>
    </w:rPr>
  </w:style>
  <w:style w:type="paragraph" w:styleId="Tekstprzypisukocowego">
    <w:name w:val="endnote text"/>
    <w:basedOn w:val="Normalny"/>
    <w:rPr>
      <w:sz w:val="20"/>
      <w:szCs w:val="18"/>
    </w:rPr>
  </w:style>
  <w:style w:type="character" w:customStyle="1" w:styleId="TekstprzypisukocowegoZnak">
    <w:name w:val="Tekst przypisu końcowego Znak"/>
    <w:rPr>
      <w:sz w:val="20"/>
      <w:szCs w:val="18"/>
    </w:rPr>
  </w:style>
  <w:style w:type="character" w:styleId="Odwoanieprzypisukocowego">
    <w:name w:val="endnote reference"/>
    <w:rPr>
      <w:position w:val="0"/>
      <w:vertAlign w:val="superscript"/>
    </w:rPr>
  </w:style>
  <w:style w:type="paragraph" w:customStyle="1" w:styleId="Normalny11pt">
    <w:name w:val="Normalny + 11 pt"/>
    <w:basedOn w:val="Standard"/>
    <w:pPr>
      <w:tabs>
        <w:tab w:val="left" w:pos="1146"/>
        <w:tab w:val="left" w:pos="1440"/>
      </w:tabs>
      <w:overflowPunct w:val="0"/>
      <w:autoSpaceDE w:val="0"/>
      <w:ind w:left="720" w:hanging="360"/>
      <w:jc w:val="both"/>
    </w:pPr>
    <w:rPr>
      <w:sz w:val="22"/>
      <w:szCs w:val="22"/>
    </w:rPr>
  </w:style>
  <w:style w:type="character" w:styleId="Pogrubienie">
    <w:name w:val="Strong"/>
    <w:rPr>
      <w:b/>
      <w:bCs/>
    </w:rPr>
  </w:style>
  <w:style w:type="character" w:customStyle="1" w:styleId="Nagwek1Znak">
    <w:name w:val="Nagłówek 1 Znak"/>
    <w:rPr>
      <w:rFonts w:ascii="Calibri Light" w:eastAsia="Times New Roman" w:hAnsi="Calibri Light"/>
      <w:color w:val="2E74B5"/>
      <w:sz w:val="32"/>
      <w:szCs w:val="29"/>
    </w:rPr>
  </w:style>
  <w:style w:type="paragraph" w:customStyle="1" w:styleId="western">
    <w:name w:val="western"/>
    <w:basedOn w:val="Normalny"/>
    <w:pPr>
      <w:widowControl/>
      <w:suppressAutoHyphens w:val="0"/>
      <w:spacing w:before="100" w:after="119"/>
      <w:textAlignment w:val="auto"/>
    </w:pPr>
    <w:rPr>
      <w:rFonts w:ascii="Times New Roman" w:eastAsia="Times New Roman" w:hAnsi="Times New Roman" w:cs="Times New Roman"/>
      <w:kern w:val="0"/>
      <w:lang w:eastAsia="pl-PL" w:bidi="ar-SA"/>
    </w:rPr>
  </w:style>
  <w:style w:type="character" w:customStyle="1" w:styleId="alb">
    <w:name w:val="a_lb"/>
    <w:basedOn w:val="Domylnaczcionkaakapitu"/>
  </w:style>
  <w:style w:type="character" w:customStyle="1" w:styleId="Domylnaczcionkaakapitu2">
    <w:name w:val="Domyślna czcionka akapitu2"/>
    <w:rsid w:val="00AD3A51"/>
  </w:style>
  <w:style w:type="paragraph" w:customStyle="1" w:styleId="Normalny1">
    <w:name w:val="Normalny1"/>
    <w:rsid w:val="00AD3A51"/>
    <w:pPr>
      <w:widowControl w:val="0"/>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bidi="hi-IN"/>
    </w:rPr>
  </w:style>
  <w:style w:type="table" w:styleId="Tabela-Siatka">
    <w:name w:val="Table Grid"/>
    <w:basedOn w:val="Standardowy"/>
    <w:uiPriority w:val="39"/>
    <w:rsid w:val="008D73B3"/>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pPr>
      <w:numPr>
        <w:numId w:val="1"/>
      </w:numPr>
    </w:pPr>
  </w:style>
  <w:style w:type="numbering" w:customStyle="1" w:styleId="WW8Num43">
    <w:name w:val="WW8Num43"/>
    <w:basedOn w:val="Bezlisty"/>
    <w:pPr>
      <w:numPr>
        <w:numId w:val="2"/>
      </w:numPr>
    </w:pPr>
  </w:style>
  <w:style w:type="numbering" w:customStyle="1" w:styleId="WW8Num42">
    <w:name w:val="WW8Num42"/>
    <w:basedOn w:val="Bezlisty"/>
    <w:pPr>
      <w:numPr>
        <w:numId w:val="3"/>
      </w:numPr>
    </w:pPr>
  </w:style>
  <w:style w:type="numbering" w:customStyle="1" w:styleId="WW8Num41">
    <w:name w:val="WW8Num41"/>
    <w:basedOn w:val="Bezlisty"/>
    <w:pPr>
      <w:numPr>
        <w:numId w:val="4"/>
      </w:numPr>
    </w:pPr>
  </w:style>
  <w:style w:type="numbering" w:customStyle="1" w:styleId="WW8Num32">
    <w:name w:val="WW8Num32"/>
    <w:basedOn w:val="Bezlisty"/>
    <w:pPr>
      <w:numPr>
        <w:numId w:val="5"/>
      </w:numPr>
    </w:pPr>
  </w:style>
  <w:style w:type="numbering" w:customStyle="1" w:styleId="WW8Num31">
    <w:name w:val="WW8Num31"/>
    <w:basedOn w:val="Bezlisty"/>
    <w:pPr>
      <w:numPr>
        <w:numId w:val="6"/>
      </w:numPr>
    </w:pPr>
  </w:style>
  <w:style w:type="numbering" w:customStyle="1" w:styleId="WW8Num1">
    <w:name w:val="WW8Num1"/>
    <w:basedOn w:val="Bezlisty"/>
    <w:pPr>
      <w:numPr>
        <w:numId w:val="7"/>
      </w:numPr>
    </w:pPr>
  </w:style>
  <w:style w:type="numbering" w:customStyle="1" w:styleId="WW8Num2">
    <w:name w:val="WW8Num2"/>
    <w:basedOn w:val="Bezlisty"/>
    <w:pPr>
      <w:numPr>
        <w:numId w:val="8"/>
      </w:numPr>
    </w:pPr>
  </w:style>
  <w:style w:type="numbering" w:customStyle="1" w:styleId="WW8Num3">
    <w:name w:val="WW8Num3"/>
    <w:basedOn w:val="Bezlisty"/>
    <w:pPr>
      <w:numPr>
        <w:numId w:val="9"/>
      </w:numPr>
    </w:pPr>
  </w:style>
  <w:style w:type="numbering" w:customStyle="1" w:styleId="WW8Num4">
    <w:name w:val="WW8Num4"/>
    <w:basedOn w:val="Bezlisty"/>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s://sip.lex.pl/#/document/17497783?unitId=art(71)ust(1)&amp;cm=DOCU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9DA61-7720-48E3-B3DD-E12BB2BF2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4726</Words>
  <Characters>28358</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33018</CharactersWithSpaces>
  <SharedDoc>false</SharedDoc>
  <HLinks>
    <vt:vector size="6" baseType="variant">
      <vt:variant>
        <vt:i4>786448</vt:i4>
      </vt:variant>
      <vt:variant>
        <vt:i4>0</vt:i4>
      </vt:variant>
      <vt:variant>
        <vt:i4>0</vt:i4>
      </vt:variant>
      <vt:variant>
        <vt:i4>5</vt:i4>
      </vt:variant>
      <vt:variant>
        <vt:lpwstr>https://sip.lex.pl/</vt:lpwstr>
      </vt:variant>
      <vt:variant>
        <vt:lpwstr>/document/17497783?unitId=art(71)ust(1)&amp;cm=DOCUMENT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2022-10-04T12:56:00Z</cp:lastPrinted>
  <dcterms:created xsi:type="dcterms:W3CDTF">2022-10-24T10:39:00Z</dcterms:created>
  <dcterms:modified xsi:type="dcterms:W3CDTF">2022-10-24T10:39:00Z</dcterms:modified>
</cp:coreProperties>
</file>