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576BD2" w:rsidRDefault="00871ED3">
      <w:pPr>
        <w:pageBreakBefore/>
        <w:tabs>
          <w:tab w:val="left" w:pos="6645"/>
        </w:tabs>
        <w:rPr>
          <w:lang w:eastAsia="pl-PL"/>
        </w:rPr>
      </w:pPr>
      <w:bookmarkStart w:id="0" w:name="_GoBack"/>
      <w:bookmarkEnd w:id="0"/>
      <w:r>
        <w:rPr>
          <w:noProof/>
          <w:lang w:eastAsia="pl-PL"/>
        </w:rPr>
        <mc:AlternateContent>
          <mc:Choice Requires="wps">
            <w:drawing>
              <wp:anchor distT="0" distB="0" distL="0" distR="0" simplePos="0" relativeHeight="251657728" behindDoc="1" locked="0" layoutInCell="1" allowOverlap="1">
                <wp:simplePos x="0" y="0"/>
                <wp:positionH relativeFrom="margin">
                  <wp:posOffset>0</wp:posOffset>
                </wp:positionH>
                <wp:positionV relativeFrom="margin">
                  <wp:posOffset>-114300</wp:posOffset>
                </wp:positionV>
                <wp:extent cx="2850515" cy="122364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0515" cy="12236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133FA" w:rsidRDefault="00D133FA">
                            <w:pPr>
                              <w:widowControl w:val="0"/>
                              <w:tabs>
                                <w:tab w:val="right" w:pos="9639"/>
                              </w:tabs>
                              <w:jc w:val="center"/>
                              <w:rPr>
                                <w:rFonts w:eastAsia="Lucida Sans Unicode" w:cs="Tahoma"/>
                                <w:b/>
                                <w:bCs/>
                                <w:smallCaps/>
                                <w:sz w:val="32"/>
                                <w:lang w:eastAsia="pl-PL"/>
                              </w:rPr>
                            </w:pPr>
                          </w:p>
                          <w:p w:rsidR="00D133FA" w:rsidRDefault="00D133FA">
                            <w:pPr>
                              <w:widowControl w:val="0"/>
                              <w:tabs>
                                <w:tab w:val="right" w:pos="9639"/>
                              </w:tabs>
                              <w:jc w:val="center"/>
                            </w:pPr>
                            <w:r>
                              <w:rPr>
                                <w:rFonts w:eastAsia="Lucida Sans Unicode" w:cs="Tahoma"/>
                                <w:b/>
                                <w:bCs/>
                                <w:smallCaps/>
                                <w:sz w:val="32"/>
                                <w:lang w:eastAsia="pl-PL"/>
                              </w:rPr>
                              <w:t>Starosta  Piaseczyński</w:t>
                            </w:r>
                          </w:p>
                          <w:p w:rsidR="00D133FA" w:rsidRDefault="00D133FA">
                            <w:pPr>
                              <w:widowControl w:val="0"/>
                              <w:tabs>
                                <w:tab w:val="center" w:pos="4536"/>
                                <w:tab w:val="right" w:pos="9072"/>
                                <w:tab w:val="right" w:pos="9639"/>
                              </w:tabs>
                              <w:jc w:val="center"/>
                            </w:pPr>
                            <w:r>
                              <w:rPr>
                                <w:rFonts w:eastAsia="Lucida Sans Unicode" w:cs="Tahoma"/>
                                <w:szCs w:val="20"/>
                                <w:lang w:eastAsia="pl-PL"/>
                              </w:rPr>
                              <w:t>ul. Chyliczkowska 14, 05-500 Piaseczno</w:t>
                            </w:r>
                          </w:p>
                          <w:p w:rsidR="00D133FA" w:rsidRDefault="00D133FA">
                            <w:pPr>
                              <w:widowControl w:val="0"/>
                              <w:tabs>
                                <w:tab w:val="center" w:pos="4536"/>
                                <w:tab w:val="right" w:pos="9072"/>
                                <w:tab w:val="right" w:pos="9639"/>
                              </w:tabs>
                              <w:jc w:val="center"/>
                            </w:pPr>
                            <w:r>
                              <w:rPr>
                                <w:rFonts w:eastAsia="Lucida Sans Unicode" w:cs="Tahoma"/>
                                <w:szCs w:val="16"/>
                                <w:lang w:eastAsia="pl-PL"/>
                              </w:rPr>
                              <w:t xml:space="preserve">tel.(22) 756-62-54, fax. (22) 756-61-90   </w:t>
                            </w:r>
                          </w:p>
                          <w:p w:rsidR="00D133FA" w:rsidRDefault="00D133FA">
                            <w:pPr>
                              <w:widowControl w:val="0"/>
                              <w:tabs>
                                <w:tab w:val="center" w:pos="4536"/>
                                <w:tab w:val="right" w:pos="9072"/>
                                <w:tab w:val="right" w:pos="9639"/>
                              </w:tabs>
                              <w:jc w:val="center"/>
                              <w:rPr>
                                <w:rFonts w:eastAsia="Lucida Sans Unicode" w:cs="Tahoma"/>
                                <w:b/>
                                <w:szCs w:val="16"/>
                                <w:lang w:eastAsia="pl-PL"/>
                              </w:rPr>
                            </w:pPr>
                          </w:p>
                          <w:p w:rsidR="00D133FA" w:rsidRDefault="00D133FA">
                            <w:pPr>
                              <w:widowControl w:val="0"/>
                              <w:tabs>
                                <w:tab w:val="center" w:pos="4536"/>
                                <w:tab w:val="right" w:pos="9072"/>
                                <w:tab w:val="right" w:pos="9639"/>
                              </w:tabs>
                              <w:jc w:val="center"/>
                            </w:pPr>
                            <w:r>
                              <w:rPr>
                                <w:rStyle w:val="Domylnaczcionkaakapitu2"/>
                                <w:rFonts w:eastAsia="Lucida Sans Unicode" w:cs="Tahoma"/>
                                <w:b/>
                                <w:szCs w:val="16"/>
                                <w:lang w:eastAsia="pl-PL"/>
                              </w:rPr>
                              <w:t>N</w:t>
                            </w:r>
                            <w:r>
                              <w:rPr>
                                <w:rStyle w:val="Domylnaczcionkaakapitu2"/>
                                <w:b/>
                              </w:rPr>
                              <w:t xml:space="preserve">r rej. </w:t>
                            </w:r>
                            <w:r>
                              <w:rPr>
                                <w:rStyle w:val="Domylnaczcionkaakapitu2"/>
                                <w:b/>
                                <w:kern w:val="0"/>
                              </w:rPr>
                              <w:t>ARB.6740.426.2022.MgD</w:t>
                            </w:r>
                          </w:p>
                          <w:p w:rsidR="00D133FA" w:rsidRDefault="00D133FA">
                            <w:pPr>
                              <w:widowControl w:val="0"/>
                              <w:tabs>
                                <w:tab w:val="center" w:pos="4536"/>
                                <w:tab w:val="right" w:pos="9072"/>
                                <w:tab w:val="right" w:pos="9639"/>
                              </w:tabs>
                              <w:rPr>
                                <w:rFonts w:eastAsia="Lucida Sans Unicode" w:cs="Tahoma"/>
                                <w:b/>
                                <w:sz w:val="28"/>
                                <w:szCs w:val="20"/>
                                <w:lang w:eastAsia="pl-PL"/>
                              </w:rPr>
                            </w:pPr>
                          </w:p>
                          <w:p w:rsidR="00D133FA" w:rsidRDefault="00D133FA">
                            <w:pPr>
                              <w:autoSpaceDE w:val="0"/>
                              <w:jc w:val="center"/>
                              <w:rPr>
                                <w:rFonts w:eastAsia="Lucida Sans Unicode" w:cs="Tahoma"/>
                                <w:b/>
                                <w:color w:val="000000"/>
                                <w:sz w:val="28"/>
                                <w:szCs w:val="20"/>
                                <w:lang w:eastAsia="pl-PL"/>
                              </w:rPr>
                            </w:pPr>
                          </w:p>
                          <w:p w:rsidR="00D133FA" w:rsidRDefault="00D133FA">
                            <w:pPr>
                              <w:autoSpaceDE w:val="0"/>
                              <w:jc w:val="center"/>
                              <w:rPr>
                                <w:rFonts w:eastAsia="Lucida Sans Unicode" w:cs="Tahoma"/>
                                <w:b/>
                                <w:color w:val="000000"/>
                                <w:sz w:val="28"/>
                                <w:szCs w:val="20"/>
                                <w:lang w:eastAsia="pl-PL"/>
                              </w:rPr>
                            </w:pPr>
                          </w:p>
                          <w:p w:rsidR="00D133FA" w:rsidRDefault="00D133FA">
                            <w:pPr>
                              <w:autoSpaceDE w:val="0"/>
                              <w:jc w:val="center"/>
                              <w:rPr>
                                <w:rFonts w:eastAsia="Lucida Sans Unicode" w:cs="Tahoma"/>
                                <w:b/>
                                <w:color w:val="000000"/>
                                <w:sz w:val="28"/>
                                <w:szCs w:val="20"/>
                                <w:lang w:eastAsia="pl-P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9pt;width:224.45pt;height:96.35pt;z-index:-251658752;visibility:visible;mso-wrap-style:square;mso-width-percent:0;mso-height-percent:0;mso-wrap-distance-left:0;mso-wrap-distance-top:0;mso-wrap-distance-right:0;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" stroked="f">
                <v:textbox inset="0,0,0,0">
                  <w:txbxContent>
                    <w:p w:rsidR="00D133FA" w:rsidRDefault="00D133FA">
                      <w:pPr>
                        <w:widowControl w:val="0"/>
                        <w:tabs>
                          <w:tab w:val="right" w:pos="9639"/>
                        </w:tabs>
                        <w:jc w:val="center"/>
                        <w:rPr>
                          <w:rFonts w:eastAsia="Lucida Sans Unicode" w:cs="Tahoma"/>
                          <w:b/>
                          <w:bCs/>
                          <w:smallCaps/>
                          <w:sz w:val="32"/>
                          <w:lang w:eastAsia="pl-PL"/>
                        </w:rPr>
                      </w:pPr>
                    </w:p>
                    <w:p w:rsidR="00D133FA" w:rsidRDefault="00D133FA">
                      <w:pPr>
                        <w:widowControl w:val="0"/>
                        <w:tabs>
                          <w:tab w:val="right" w:pos="9639"/>
                        </w:tabs>
                        <w:jc w:val="center"/>
                      </w:pPr>
                      <w:r>
                        <w:rPr>
                          <w:rFonts w:eastAsia="Lucida Sans Unicode" w:cs="Tahoma"/>
                          <w:b/>
                          <w:bCs/>
                          <w:smallCaps/>
                          <w:sz w:val="32"/>
                          <w:lang w:eastAsia="pl-PL"/>
                        </w:rPr>
                        <w:t>Starosta  Piaseczyński</w:t>
                      </w:r>
                    </w:p>
                    <w:p w:rsidR="00D133FA" w:rsidRDefault="00D133FA">
                      <w:pPr>
                        <w:widowControl w:val="0"/>
                        <w:tabs>
                          <w:tab w:val="center" w:pos="4536"/>
                          <w:tab w:val="right" w:pos="9072"/>
                          <w:tab w:val="right" w:pos="9639"/>
                        </w:tabs>
                        <w:jc w:val="center"/>
                      </w:pPr>
                      <w:r>
                        <w:rPr>
                          <w:rFonts w:eastAsia="Lucida Sans Unicode" w:cs="Tahoma"/>
                          <w:szCs w:val="20"/>
                          <w:lang w:eastAsia="pl-PL"/>
                        </w:rPr>
                        <w:t>ul. Chyliczkowska 14, 05-500 Piaseczno</w:t>
                      </w:r>
                    </w:p>
                    <w:p w:rsidR="00D133FA" w:rsidRDefault="00D133FA">
                      <w:pPr>
                        <w:widowControl w:val="0"/>
                        <w:tabs>
                          <w:tab w:val="center" w:pos="4536"/>
                          <w:tab w:val="right" w:pos="9072"/>
                          <w:tab w:val="right" w:pos="9639"/>
                        </w:tabs>
                        <w:jc w:val="center"/>
                      </w:pPr>
                      <w:r>
                        <w:rPr>
                          <w:rFonts w:eastAsia="Lucida Sans Unicode" w:cs="Tahoma"/>
                          <w:szCs w:val="16"/>
                          <w:lang w:eastAsia="pl-PL"/>
                        </w:rPr>
                        <w:t xml:space="preserve">tel.(22) 756-62-54, fax. (22) 756-61-90   </w:t>
                      </w:r>
                    </w:p>
                    <w:p w:rsidR="00D133FA" w:rsidRDefault="00D133FA">
                      <w:pPr>
                        <w:widowControl w:val="0"/>
                        <w:tabs>
                          <w:tab w:val="center" w:pos="4536"/>
                          <w:tab w:val="right" w:pos="9072"/>
                          <w:tab w:val="right" w:pos="9639"/>
                        </w:tabs>
                        <w:jc w:val="center"/>
                        <w:rPr>
                          <w:rFonts w:eastAsia="Lucida Sans Unicode" w:cs="Tahoma"/>
                          <w:b/>
                          <w:szCs w:val="16"/>
                          <w:lang w:eastAsia="pl-PL"/>
                        </w:rPr>
                      </w:pPr>
                    </w:p>
                    <w:p w:rsidR="00D133FA" w:rsidRDefault="00D133FA">
                      <w:pPr>
                        <w:widowControl w:val="0"/>
                        <w:tabs>
                          <w:tab w:val="center" w:pos="4536"/>
                          <w:tab w:val="right" w:pos="9072"/>
                          <w:tab w:val="right" w:pos="9639"/>
                        </w:tabs>
                        <w:jc w:val="center"/>
                      </w:pPr>
                      <w:r>
                        <w:rPr>
                          <w:rStyle w:val="Domylnaczcionkaakapitu2"/>
                          <w:rFonts w:eastAsia="Lucida Sans Unicode" w:cs="Tahoma"/>
                          <w:b/>
                          <w:szCs w:val="16"/>
                          <w:lang w:eastAsia="pl-PL"/>
                        </w:rPr>
                        <w:t>N</w:t>
                      </w:r>
                      <w:r>
                        <w:rPr>
                          <w:rStyle w:val="Domylnaczcionkaakapitu2"/>
                          <w:b/>
                        </w:rPr>
                        <w:t xml:space="preserve">r rej. </w:t>
                      </w:r>
                      <w:r>
                        <w:rPr>
                          <w:rStyle w:val="Domylnaczcionkaakapitu2"/>
                          <w:b/>
                          <w:kern w:val="0"/>
                        </w:rPr>
                        <w:t>ARB.6740.426.2022.MgD</w:t>
                      </w:r>
                    </w:p>
                    <w:p w:rsidR="00D133FA" w:rsidRDefault="00D133FA">
                      <w:pPr>
                        <w:widowControl w:val="0"/>
                        <w:tabs>
                          <w:tab w:val="center" w:pos="4536"/>
                          <w:tab w:val="right" w:pos="9072"/>
                          <w:tab w:val="right" w:pos="9639"/>
                        </w:tabs>
                        <w:rPr>
                          <w:rFonts w:eastAsia="Lucida Sans Unicode" w:cs="Tahoma"/>
                          <w:b/>
                          <w:sz w:val="28"/>
                          <w:szCs w:val="20"/>
                          <w:lang w:eastAsia="pl-PL"/>
                        </w:rPr>
                      </w:pPr>
                    </w:p>
                    <w:p w:rsidR="00D133FA" w:rsidRDefault="00D133FA">
                      <w:pPr>
                        <w:autoSpaceDE w:val="0"/>
                        <w:jc w:val="center"/>
                        <w:rPr>
                          <w:rFonts w:eastAsia="Lucida Sans Unicode" w:cs="Tahoma"/>
                          <w:b/>
                          <w:color w:val="000000"/>
                          <w:sz w:val="28"/>
                          <w:szCs w:val="20"/>
                          <w:lang w:eastAsia="pl-PL"/>
                        </w:rPr>
                      </w:pPr>
                    </w:p>
                    <w:p w:rsidR="00D133FA" w:rsidRDefault="00D133FA">
                      <w:pPr>
                        <w:autoSpaceDE w:val="0"/>
                        <w:jc w:val="center"/>
                        <w:rPr>
                          <w:rFonts w:eastAsia="Lucida Sans Unicode" w:cs="Tahoma"/>
                          <w:b/>
                          <w:color w:val="000000"/>
                          <w:sz w:val="28"/>
                          <w:szCs w:val="20"/>
                          <w:lang w:eastAsia="pl-PL"/>
                        </w:rPr>
                      </w:pPr>
                    </w:p>
                    <w:p w:rsidR="00D133FA" w:rsidRDefault="00D133FA">
                      <w:pPr>
                        <w:autoSpaceDE w:val="0"/>
                        <w:jc w:val="center"/>
                        <w:rPr>
                          <w:rFonts w:eastAsia="Lucida Sans Unicode" w:cs="Tahoma"/>
                          <w:b/>
                          <w:color w:val="000000"/>
                          <w:sz w:val="28"/>
                          <w:szCs w:val="20"/>
                          <w:lang w:eastAsia="pl-PL"/>
                        </w:rPr>
                      </w:pPr>
                    </w:p>
                  </w:txbxContent>
                </v:textbox>
                <w10:wrap anchorx="margin" anchory="margin"/>
              </v:shape>
            </w:pict>
          </mc:Fallback>
        </mc:AlternateContent>
      </w:r>
      <w:r w:rsidR="00576BD2">
        <w:cr/>
      </w:r>
      <w:r w:rsidR="00576BD2">
        <w:rPr>
          <w:lang w:eastAsia="pl-PL"/>
        </w:rPr>
        <w:t xml:space="preserve">  </w:t>
      </w:r>
    </w:p>
    <w:p w:rsidR="00576BD2" w:rsidRDefault="00576BD2">
      <w:pPr>
        <w:tabs>
          <w:tab w:val="left" w:pos="6645"/>
        </w:tabs>
        <w:jc w:val="right"/>
      </w:pPr>
      <w:r>
        <w:t>Piaseczno,</w:t>
      </w:r>
      <w:bookmarkStart w:id="1" w:name="Tekst1"/>
      <w:r w:rsidR="00F51198">
        <w:t xml:space="preserve"> </w:t>
      </w:r>
      <w:r w:rsidR="00A6740C">
        <w:t>2</w:t>
      </w:r>
      <w:r w:rsidR="00A348ED">
        <w:t xml:space="preserve"> </w:t>
      </w:r>
      <w:r w:rsidR="0024140F">
        <w:t>grudnia</w:t>
      </w:r>
      <w:r>
        <w:fldChar w:fldCharType="begin">
          <w:ffData>
            <w:name w:val="Tekst1"/>
            <w:enabled/>
            <w:calcOnExit w:val="0"/>
            <w:textInput/>
          </w:ffData>
        </w:fldChar>
      </w:r>
      <w:r>
        <w:instrText xml:space="preserve"> FORMTEXT </w:instrText>
      </w:r>
      <w:r>
        <w:instrText/>
      </w:r>
      <w:r>
        <w:fldChar w:fldCharType="end"/>
      </w:r>
      <w:bookmarkEnd w:id="1"/>
      <w:r>
        <w:rPr>
          <w:rStyle w:val="Domylnaczcionkaakapitu2"/>
          <w:color w:val="000000"/>
        </w:rPr>
        <w:t xml:space="preserve"> 202</w:t>
      </w:r>
      <w:r w:rsidR="00A80D51">
        <w:rPr>
          <w:rStyle w:val="Domylnaczcionkaakapitu2"/>
          <w:color w:val="000000"/>
        </w:rPr>
        <w:t xml:space="preserve">2 </w:t>
      </w:r>
      <w:r>
        <w:rPr>
          <w:rStyle w:val="Domylnaczcionkaakapitu2"/>
          <w:color w:val="000000"/>
        </w:rPr>
        <w:t xml:space="preserve"> r.</w:t>
      </w:r>
    </w:p>
    <w:p w:rsidR="00576BD2" w:rsidRDefault="005B1611" w:rsidP="005B1611">
      <w:pPr>
        <w:tabs>
          <w:tab w:val="left" w:pos="2100"/>
        </w:tabs>
      </w:pPr>
      <w:r>
        <w:tab/>
      </w:r>
    </w:p>
    <w:p w:rsidR="00576BD2" w:rsidRDefault="006564E5" w:rsidP="00E54BB2">
      <w:pPr>
        <w:tabs>
          <w:tab w:val="center" w:pos="1967"/>
          <w:tab w:val="left" w:pos="2340"/>
          <w:tab w:val="left" w:pos="2625"/>
          <w:tab w:val="left" w:pos="4500"/>
        </w:tabs>
        <w:ind w:right="5137"/>
      </w:pPr>
      <w:r>
        <w:tab/>
      </w:r>
      <w:r w:rsidR="00576BD2">
        <w:t xml:space="preserve"> </w:t>
      </w:r>
      <w:r w:rsidR="00E54BB2">
        <w:tab/>
      </w:r>
    </w:p>
    <w:p w:rsidR="00576BD2" w:rsidRDefault="00576BD2">
      <w:pPr>
        <w:tabs>
          <w:tab w:val="left" w:pos="2340"/>
          <w:tab w:val="left" w:pos="4500"/>
        </w:tabs>
        <w:ind w:right="5137"/>
        <w:jc w:val="center"/>
      </w:pPr>
      <w:r>
        <w:t xml:space="preserve">         </w:t>
      </w:r>
      <w:r>
        <w:tab/>
        <w:t xml:space="preserve">                   </w:t>
      </w:r>
    </w:p>
    <w:p w:rsidR="005B1611" w:rsidRDefault="005B1611" w:rsidP="00E40C5C">
      <w:pPr>
        <w:pBdr>
          <w:bottom w:val="none" w:sz="0" w:space="3" w:color="000000"/>
        </w:pBdr>
        <w:tabs>
          <w:tab w:val="left" w:pos="4095"/>
        </w:tabs>
        <w:jc w:val="center"/>
        <w:rPr>
          <w:rStyle w:val="Domylnaczcionkaakapitu2"/>
          <w:b/>
          <w:bCs/>
          <w:sz w:val="32"/>
          <w:szCs w:val="32"/>
        </w:rPr>
      </w:pPr>
    </w:p>
    <w:p w:rsidR="00576BD2" w:rsidRDefault="00B1009A" w:rsidP="00E40C5C">
      <w:pPr>
        <w:pBdr>
          <w:bottom w:val="none" w:sz="0" w:space="3" w:color="000000"/>
        </w:pBdr>
        <w:tabs>
          <w:tab w:val="left" w:pos="4095"/>
        </w:tabs>
        <w:jc w:val="center"/>
      </w:pPr>
      <w:r>
        <w:rPr>
          <w:rStyle w:val="Domylnaczcionkaakapitu2"/>
          <w:b/>
          <w:bCs/>
          <w:sz w:val="32"/>
          <w:szCs w:val="32"/>
        </w:rPr>
        <w:t xml:space="preserve">DECYZJA  NR    </w:t>
      </w:r>
      <w:r w:rsidR="00576BD2">
        <w:rPr>
          <w:rStyle w:val="Domylnaczcionkaakapitu2"/>
          <w:b/>
          <w:bCs/>
          <w:sz w:val="32"/>
          <w:szCs w:val="32"/>
        </w:rPr>
        <w:t xml:space="preserve"> </w:t>
      </w:r>
      <w:r w:rsidR="00A6740C">
        <w:rPr>
          <w:rStyle w:val="Domylnaczcionkaakapitu2"/>
          <w:b/>
          <w:bCs/>
          <w:sz w:val="32"/>
          <w:szCs w:val="32"/>
        </w:rPr>
        <w:t>1883</w:t>
      </w:r>
      <w:r w:rsidR="00576BD2">
        <w:rPr>
          <w:rStyle w:val="Domylnaczcionkaakapitu2"/>
          <w:b/>
          <w:bCs/>
          <w:sz w:val="32"/>
          <w:szCs w:val="32"/>
        </w:rPr>
        <w:t xml:space="preserve"> /202</w:t>
      </w:r>
      <w:r w:rsidR="00A80D51">
        <w:rPr>
          <w:rStyle w:val="Domylnaczcionkaakapitu2"/>
          <w:b/>
          <w:bCs/>
          <w:sz w:val="32"/>
          <w:szCs w:val="32"/>
        </w:rPr>
        <w:t xml:space="preserve">2 </w:t>
      </w:r>
    </w:p>
    <w:p w:rsidR="00576BD2" w:rsidRDefault="00576BD2" w:rsidP="00E40C5C">
      <w:pPr>
        <w:pBdr>
          <w:bottom w:val="none" w:sz="0" w:space="3" w:color="000000"/>
        </w:pBdr>
        <w:tabs>
          <w:tab w:val="left" w:pos="4095"/>
        </w:tabs>
        <w:jc w:val="center"/>
        <w:rPr>
          <w:bCs/>
          <w:sz w:val="28"/>
          <w:szCs w:val="28"/>
        </w:rPr>
      </w:pPr>
    </w:p>
    <w:p w:rsidR="00576BD2" w:rsidRDefault="00576BD2" w:rsidP="00E40C5C">
      <w:pPr>
        <w:pBdr>
          <w:bottom w:val="none" w:sz="0" w:space="3" w:color="000000"/>
        </w:pBdr>
        <w:ind w:firstLine="709"/>
        <w:jc w:val="both"/>
        <w:rPr>
          <w:b/>
        </w:rPr>
      </w:pPr>
      <w:r>
        <w:t>Na podstawie art. 28, art. 33 ust. 1, art. 34 ust. 4</w:t>
      </w:r>
      <w:r w:rsidR="00CD2D10">
        <w:t xml:space="preserve"> oraz art. 30b i art. 36, w związku z </w:t>
      </w:r>
      <w:r>
        <w:t>art. 82   ust. 2 ustawy z dnia 7 lipca 1994 r. Prawo budowlane (t.j. Dz. U. z 202</w:t>
      </w:r>
      <w:r w:rsidR="005D3476">
        <w:t>1</w:t>
      </w:r>
      <w:r>
        <w:t xml:space="preserve"> r., poz. </w:t>
      </w:r>
      <w:r w:rsidR="005D3476">
        <w:t>2351</w:t>
      </w:r>
      <w:r>
        <w:t xml:space="preserve"> ze zm.) czytaj dalej ustawy - Prawo budowlane oraz na podstawie art. 104 ustawy z dnia 14 czerwca 1960 r. Kodeks postępowania administracyjnego </w:t>
      </w:r>
      <w:r>
        <w:rPr>
          <w:rStyle w:val="Domylnaczcionkaakapitu2"/>
          <w:kern w:val="0"/>
        </w:rPr>
        <w:t>(t.j. Dz. U. z  202</w:t>
      </w:r>
      <w:r w:rsidR="006564E5">
        <w:rPr>
          <w:rStyle w:val="Domylnaczcionkaakapitu2"/>
          <w:kern w:val="0"/>
        </w:rPr>
        <w:t>2</w:t>
      </w:r>
      <w:r>
        <w:rPr>
          <w:rStyle w:val="Domylnaczcionkaakapitu2"/>
          <w:kern w:val="0"/>
        </w:rPr>
        <w:t xml:space="preserve"> r., poz. </w:t>
      </w:r>
      <w:r w:rsidR="006564E5">
        <w:rPr>
          <w:rStyle w:val="Domylnaczcionkaakapitu2"/>
          <w:kern w:val="0"/>
        </w:rPr>
        <w:t>2000</w:t>
      </w:r>
      <w:r w:rsidR="00EF40DD">
        <w:rPr>
          <w:rStyle w:val="Domylnaczcionkaakapitu2"/>
          <w:kern w:val="0"/>
        </w:rPr>
        <w:t xml:space="preserve"> ze zm.</w:t>
      </w:r>
      <w:r>
        <w:rPr>
          <w:rStyle w:val="Domylnaczcionkaakapitu2"/>
          <w:kern w:val="0"/>
        </w:rPr>
        <w:t xml:space="preserve">), </w:t>
      </w:r>
      <w:r>
        <w:t>czytaj dalej k.p.a.,</w:t>
      </w:r>
    </w:p>
    <w:p w:rsidR="00E40C5C" w:rsidRDefault="00576BD2" w:rsidP="00E40C5C">
      <w:pPr>
        <w:pStyle w:val="Standard"/>
        <w:ind w:left="1260" w:hanging="1260"/>
        <w:jc w:val="both"/>
      </w:pPr>
      <w:r>
        <w:rPr>
          <w:rStyle w:val="Domylnaczcionkaakapitu2"/>
          <w:b/>
        </w:rPr>
        <w:t>po rozpatrzeniu:</w:t>
      </w:r>
      <w:r>
        <w:t xml:space="preserve"> </w:t>
      </w:r>
      <w:r w:rsidR="00E40C5C">
        <w:t xml:space="preserve">wniosku o pozwolenie na budowę z dnia 23 marca 2022 r., uzupełnionego w  dniu 22 kwietnia 2022 r. i zmienionego w dniu 29 sierpnia 2022 r. </w:t>
      </w:r>
    </w:p>
    <w:p w:rsidR="00576BD2" w:rsidRDefault="00576BD2" w:rsidP="00E40C5C">
      <w:pPr>
        <w:pBdr>
          <w:bottom w:val="none" w:sz="0" w:space="3" w:color="000000"/>
        </w:pBdr>
        <w:jc w:val="both"/>
        <w:rPr>
          <w:b/>
          <w:color w:val="FF0000"/>
        </w:rPr>
      </w:pPr>
    </w:p>
    <w:p w:rsidR="005B1611" w:rsidRDefault="005B1611" w:rsidP="00E40C5C">
      <w:pPr>
        <w:pBdr>
          <w:bottom w:val="none" w:sz="0" w:space="3" w:color="000000"/>
        </w:pBdr>
        <w:jc w:val="both"/>
        <w:rPr>
          <w:b/>
          <w:color w:val="FF0000"/>
        </w:rPr>
      </w:pPr>
    </w:p>
    <w:p w:rsidR="00576BD2" w:rsidRDefault="00576BD2" w:rsidP="00E40C5C">
      <w:pPr>
        <w:pBdr>
          <w:bottom w:val="none" w:sz="0" w:space="3" w:color="000000"/>
        </w:pBdr>
        <w:jc w:val="center"/>
      </w:pPr>
      <w:r>
        <w:rPr>
          <w:b/>
          <w:u w:val="single"/>
        </w:rPr>
        <w:t xml:space="preserve">zatwierdzam </w:t>
      </w:r>
    </w:p>
    <w:p w:rsidR="00576BD2" w:rsidRDefault="00576BD2" w:rsidP="00E40C5C">
      <w:pPr>
        <w:pBdr>
          <w:bottom w:val="none" w:sz="0" w:space="3" w:color="000000"/>
        </w:pBdr>
        <w:jc w:val="center"/>
      </w:pPr>
      <w:r>
        <w:rPr>
          <w:b/>
          <w:u w:val="single"/>
        </w:rPr>
        <w:t xml:space="preserve">projekt zagospodarowania terenu </w:t>
      </w:r>
    </w:p>
    <w:p w:rsidR="00576BD2" w:rsidRDefault="00576BD2" w:rsidP="00E40C5C">
      <w:pPr>
        <w:pBdr>
          <w:bottom w:val="none" w:sz="0" w:space="3" w:color="000000"/>
        </w:pBdr>
        <w:jc w:val="center"/>
      </w:pPr>
      <w:r>
        <w:rPr>
          <w:b/>
          <w:u w:val="single"/>
        </w:rPr>
        <w:t>i projekt architektoniczno-budowlany</w:t>
      </w:r>
    </w:p>
    <w:p w:rsidR="00576BD2" w:rsidRDefault="00576BD2" w:rsidP="00E40C5C">
      <w:pPr>
        <w:pBdr>
          <w:bottom w:val="none" w:sz="0" w:space="3" w:color="000000"/>
        </w:pBdr>
        <w:jc w:val="center"/>
        <w:rPr>
          <w:b/>
          <w:u w:val="single"/>
        </w:rPr>
      </w:pPr>
      <w:r>
        <w:rPr>
          <w:b/>
          <w:u w:val="single"/>
        </w:rPr>
        <w:t xml:space="preserve">oraz </w:t>
      </w:r>
      <w:r w:rsidR="00D60DBE">
        <w:rPr>
          <w:b/>
          <w:u w:val="single"/>
        </w:rPr>
        <w:t xml:space="preserve">udzielam pozwolenia na budowę </w:t>
      </w:r>
    </w:p>
    <w:p w:rsidR="005B1611" w:rsidRDefault="005B1611" w:rsidP="00E40C5C">
      <w:pPr>
        <w:pBdr>
          <w:bottom w:val="none" w:sz="0" w:space="3" w:color="000000"/>
        </w:pBdr>
        <w:jc w:val="center"/>
        <w:rPr>
          <w:b/>
          <w:u w:val="single"/>
        </w:rPr>
      </w:pPr>
    </w:p>
    <w:p w:rsidR="005B1611" w:rsidRDefault="005B1611" w:rsidP="00E40C5C">
      <w:pPr>
        <w:pBdr>
          <w:bottom w:val="none" w:sz="0" w:space="3" w:color="000000"/>
        </w:pBdr>
        <w:jc w:val="center"/>
      </w:pPr>
    </w:p>
    <w:p w:rsidR="00E40C5C" w:rsidRDefault="004E4072" w:rsidP="00E40C5C">
      <w:pPr>
        <w:pStyle w:val="Standard"/>
        <w:ind w:left="1400" w:hanging="1400"/>
      </w:pPr>
      <w:r>
        <w:rPr>
          <w:b/>
          <w:color w:val="000000"/>
        </w:rPr>
        <w:t>dla</w:t>
      </w:r>
      <w:r w:rsidR="00E40C5C">
        <w:rPr>
          <w:b/>
          <w:color w:val="000000"/>
        </w:rPr>
        <w:t xml:space="preserve">:              </w:t>
      </w:r>
      <w:r w:rsidR="00E40C5C" w:rsidRPr="00E40C5C">
        <w:rPr>
          <w:color w:val="000000"/>
        </w:rPr>
        <w:t xml:space="preserve"> </w:t>
      </w:r>
      <w:r w:rsidR="00E40C5C">
        <w:rPr>
          <w:color w:val="000000"/>
        </w:rPr>
        <w:t xml:space="preserve">PDC Industrial Center 211 Sp. z o.o. </w:t>
      </w:r>
    </w:p>
    <w:p w:rsidR="00E40C5C" w:rsidRDefault="00E40C5C" w:rsidP="00E40C5C">
      <w:pPr>
        <w:pStyle w:val="Standard"/>
        <w:ind w:left="1400" w:hanging="1400"/>
        <w:rPr>
          <w:color w:val="000000"/>
        </w:rPr>
      </w:pPr>
      <w:r>
        <w:rPr>
          <w:color w:val="000000"/>
        </w:rPr>
        <w:t xml:space="preserve">                      Plac Europejski 1, 00-844 Warszawa</w:t>
      </w:r>
    </w:p>
    <w:p w:rsidR="004E4072" w:rsidRDefault="004E4072" w:rsidP="00E40C5C">
      <w:pPr>
        <w:pStyle w:val="Standard"/>
        <w:ind w:left="1400" w:hanging="1400"/>
      </w:pPr>
    </w:p>
    <w:p w:rsidR="00576BD2" w:rsidRDefault="004E4072" w:rsidP="00E83783">
      <w:pPr>
        <w:pStyle w:val="Standard"/>
        <w:ind w:left="1259" w:hanging="1259"/>
        <w:jc w:val="both"/>
      </w:pPr>
      <w:r>
        <w:rPr>
          <w:b/>
          <w:color w:val="000000"/>
        </w:rPr>
        <w:t xml:space="preserve">obejmujące:  </w:t>
      </w:r>
      <w:r>
        <w:t xml:space="preserve">budowę </w:t>
      </w:r>
      <w:r w:rsidR="00E40C5C">
        <w:rPr>
          <w:color w:val="000000"/>
        </w:rPr>
        <w:t xml:space="preserve">budynku magazynowo-usługowego z zapleczem socjalno-biurowym wraz z instalacjami wewnętrznymi (w tym gazową), instalacjami zewnętrznymi na terenie, budynkiem wartowni z instalacjami wewnętrznymi, budynkiem pompowni ppoż., ze zbiornikiem ppoż., wiatą rowerową, szczelnymi zbiornikami bezodpływowymi na nieczystości ciekłe, szczelnymi zbiornikami retencyjnymi, zbiornikiem z parownicami i stacją redukcyjną skroplonego gazu ziemnego LNG, drogami wewnętrznymi, miejscami postojowymi, placami manewrowymi i utwardzonymi miejscami na składowanie odpadów stałych         </w:t>
      </w:r>
    </w:p>
    <w:p w:rsidR="005B1611" w:rsidRDefault="005B1611">
      <w:pPr>
        <w:ind w:left="1260" w:hanging="1260"/>
        <w:jc w:val="both"/>
      </w:pPr>
    </w:p>
    <w:p w:rsidR="00474403" w:rsidRPr="005B1611" w:rsidRDefault="00474403">
      <w:pPr>
        <w:ind w:left="1260" w:hanging="1260"/>
        <w:jc w:val="both"/>
      </w:pPr>
    </w:p>
    <w:p w:rsidR="00576BD2" w:rsidRPr="00A54980" w:rsidRDefault="00576BD2" w:rsidP="00A54980">
      <w:pPr>
        <w:ind w:left="1260" w:hanging="1260"/>
        <w:jc w:val="both"/>
      </w:pPr>
      <w:r w:rsidRPr="00474403">
        <w:rPr>
          <w:b/>
          <w:u w:val="single"/>
        </w:rPr>
        <w:t>parametry</w:t>
      </w:r>
      <w:r w:rsidR="00FF5FDD">
        <w:rPr>
          <w:b/>
          <w:u w:val="single"/>
        </w:rPr>
        <w:t xml:space="preserve"> budynku</w:t>
      </w:r>
      <w:r w:rsidR="00A54980">
        <w:rPr>
          <w:b/>
          <w:u w:val="single"/>
        </w:rPr>
        <w:t xml:space="preserve"> magazynowo-usługowego</w:t>
      </w:r>
      <w:r w:rsidR="00FF5FDD">
        <w:rPr>
          <w:b/>
          <w:u w:val="single"/>
        </w:rPr>
        <w:t xml:space="preserve">: </w:t>
      </w:r>
      <w:r w:rsidR="006564E5" w:rsidRPr="00474403">
        <w:t xml:space="preserve">      </w:t>
      </w:r>
    </w:p>
    <w:p w:rsidR="00576BD2" w:rsidRPr="005B1611" w:rsidRDefault="00576BD2">
      <w:pPr>
        <w:spacing w:line="276" w:lineRule="auto"/>
      </w:pPr>
      <w:r w:rsidRPr="005B1611">
        <w:rPr>
          <w:rStyle w:val="Domylnaczcionkaakapitu2"/>
        </w:rPr>
        <w:t xml:space="preserve">powierzchnia zabudowy:         </w:t>
      </w:r>
      <w:r w:rsidR="00A54980">
        <w:rPr>
          <w:rStyle w:val="Domylnaczcionkaakapitu2"/>
        </w:rPr>
        <w:t>19770,60</w:t>
      </w:r>
      <w:r w:rsidRPr="005B1611">
        <w:rPr>
          <w:rStyle w:val="Domylnaczcionkaakapitu2"/>
        </w:rPr>
        <w:t xml:space="preserve"> m</w:t>
      </w:r>
      <w:r w:rsidR="00161176" w:rsidRPr="005B1611">
        <w:rPr>
          <w:rStyle w:val="Domylnaczcionkaakapitu2"/>
          <w:vertAlign w:val="superscript"/>
        </w:rPr>
        <w:t>2</w:t>
      </w:r>
      <w:r w:rsidR="00B62E00">
        <w:rPr>
          <w:rStyle w:val="Domylnaczcionkaakapitu2"/>
        </w:rPr>
        <w:t xml:space="preserve">                    </w:t>
      </w:r>
    </w:p>
    <w:p w:rsidR="009B4464" w:rsidRDefault="00576BD2">
      <w:pPr>
        <w:spacing w:line="276" w:lineRule="auto"/>
        <w:rPr>
          <w:rStyle w:val="Domylnaczcionkaakapitu2"/>
        </w:rPr>
      </w:pPr>
      <w:r w:rsidRPr="005B1611">
        <w:rPr>
          <w:rStyle w:val="Domylnaczcionkaakapitu2"/>
        </w:rPr>
        <w:t xml:space="preserve">powierzchnia użytkowa:        </w:t>
      </w:r>
      <w:r w:rsidR="00A54980">
        <w:rPr>
          <w:rStyle w:val="Domylnaczcionkaakapitu2"/>
        </w:rPr>
        <w:t xml:space="preserve">  20407,40</w:t>
      </w:r>
      <w:r w:rsidR="009B4464">
        <w:rPr>
          <w:rStyle w:val="Domylnaczcionkaakapitu2"/>
        </w:rPr>
        <w:t xml:space="preserve"> </w:t>
      </w:r>
      <w:r w:rsidRPr="005B1611">
        <w:rPr>
          <w:rStyle w:val="Domylnaczcionkaakapitu2"/>
        </w:rPr>
        <w:t>m</w:t>
      </w:r>
      <w:r w:rsidR="00161176" w:rsidRPr="005B1611">
        <w:rPr>
          <w:rStyle w:val="Domylnaczcionkaakapitu2"/>
          <w:vertAlign w:val="superscript"/>
        </w:rPr>
        <w:t>2</w:t>
      </w:r>
      <w:r w:rsidR="00B62E00">
        <w:rPr>
          <w:rStyle w:val="Domylnaczcionkaakapitu2"/>
        </w:rPr>
        <w:t xml:space="preserve"> </w:t>
      </w:r>
    </w:p>
    <w:p w:rsidR="00576BD2" w:rsidRPr="005B1611" w:rsidRDefault="00576BD2">
      <w:pPr>
        <w:spacing w:line="276" w:lineRule="auto"/>
      </w:pPr>
      <w:r w:rsidRPr="005B1611">
        <w:rPr>
          <w:rStyle w:val="Domylnaczcionkaakapitu2"/>
        </w:rPr>
        <w:t xml:space="preserve">kubatura:                                 </w:t>
      </w:r>
      <w:r w:rsidR="00A54980">
        <w:rPr>
          <w:rStyle w:val="Domylnaczcionkaakapitu2"/>
        </w:rPr>
        <w:t>274811,50</w:t>
      </w:r>
      <w:r w:rsidR="00474403">
        <w:rPr>
          <w:rStyle w:val="Domylnaczcionkaakapitu2"/>
        </w:rPr>
        <w:t xml:space="preserve"> </w:t>
      </w:r>
      <w:r w:rsidRPr="005B1611">
        <w:rPr>
          <w:rStyle w:val="Domylnaczcionkaakapitu2"/>
        </w:rPr>
        <w:t>m</w:t>
      </w:r>
      <w:r w:rsidR="00161176" w:rsidRPr="005B1611">
        <w:rPr>
          <w:rStyle w:val="Domylnaczcionkaakapitu2"/>
          <w:vertAlign w:val="superscript"/>
        </w:rPr>
        <w:t>3</w:t>
      </w:r>
      <w:r w:rsidR="00B62E00">
        <w:rPr>
          <w:rStyle w:val="Domylnaczcionkaakapitu2"/>
        </w:rPr>
        <w:t xml:space="preserve">                   </w:t>
      </w:r>
    </w:p>
    <w:p w:rsidR="00576BD2" w:rsidRDefault="00576BD2">
      <w:pPr>
        <w:spacing w:line="276" w:lineRule="auto"/>
        <w:jc w:val="both"/>
        <w:rPr>
          <w:rStyle w:val="Domylnaczcionkaakapitu2"/>
        </w:rPr>
      </w:pPr>
      <w:r w:rsidRPr="005B1611">
        <w:rPr>
          <w:rStyle w:val="Domylnaczcionkaakapitu2"/>
        </w:rPr>
        <w:t xml:space="preserve">                         </w:t>
      </w:r>
    </w:p>
    <w:p w:rsidR="00A54980" w:rsidRPr="00A54980" w:rsidRDefault="00A54980" w:rsidP="00A54980">
      <w:pPr>
        <w:ind w:left="1260" w:hanging="1260"/>
        <w:jc w:val="both"/>
      </w:pPr>
      <w:r w:rsidRPr="00474403">
        <w:rPr>
          <w:b/>
          <w:u w:val="single"/>
        </w:rPr>
        <w:t>parametry</w:t>
      </w:r>
      <w:r>
        <w:rPr>
          <w:b/>
          <w:u w:val="single"/>
        </w:rPr>
        <w:t xml:space="preserve"> budynku wartowni: </w:t>
      </w:r>
      <w:r w:rsidRPr="00474403">
        <w:t xml:space="preserve">      </w:t>
      </w:r>
    </w:p>
    <w:p w:rsidR="00A54980" w:rsidRPr="005B1611" w:rsidRDefault="00A54980" w:rsidP="00A54980">
      <w:pPr>
        <w:spacing w:line="276" w:lineRule="auto"/>
      </w:pPr>
      <w:r w:rsidRPr="005B1611">
        <w:rPr>
          <w:rStyle w:val="Domylnaczcionkaakapitu2"/>
        </w:rPr>
        <w:t xml:space="preserve">powierzchnia zabudowy:        </w:t>
      </w:r>
      <w:r>
        <w:rPr>
          <w:rStyle w:val="Domylnaczcionkaakapitu2"/>
        </w:rPr>
        <w:t xml:space="preserve">      </w:t>
      </w:r>
      <w:r w:rsidRPr="005B1611">
        <w:rPr>
          <w:rStyle w:val="Domylnaczcionkaakapitu2"/>
        </w:rPr>
        <w:t xml:space="preserve"> </w:t>
      </w:r>
      <w:r>
        <w:rPr>
          <w:rStyle w:val="Domylnaczcionkaakapitu2"/>
        </w:rPr>
        <w:t>36,00</w:t>
      </w:r>
      <w:r w:rsidRPr="005B1611">
        <w:rPr>
          <w:rStyle w:val="Domylnaczcionkaakapitu2"/>
        </w:rPr>
        <w:t xml:space="preserve"> m</w:t>
      </w:r>
      <w:r w:rsidRPr="005B1611">
        <w:rPr>
          <w:rStyle w:val="Domylnaczcionkaakapitu2"/>
          <w:vertAlign w:val="superscript"/>
        </w:rPr>
        <w:t>2</w:t>
      </w:r>
      <w:r>
        <w:rPr>
          <w:rStyle w:val="Domylnaczcionkaakapitu2"/>
        </w:rPr>
        <w:t xml:space="preserve">                    </w:t>
      </w:r>
    </w:p>
    <w:p w:rsidR="00A54980" w:rsidRDefault="00A54980" w:rsidP="00A54980">
      <w:pPr>
        <w:spacing w:line="276" w:lineRule="auto"/>
        <w:rPr>
          <w:rStyle w:val="Domylnaczcionkaakapitu2"/>
        </w:rPr>
      </w:pPr>
      <w:r w:rsidRPr="005B1611">
        <w:rPr>
          <w:rStyle w:val="Domylnaczcionkaakapitu2"/>
        </w:rPr>
        <w:t xml:space="preserve">powierzchnia użytkowa:        </w:t>
      </w:r>
      <w:r>
        <w:rPr>
          <w:rStyle w:val="Domylnaczcionkaakapitu2"/>
        </w:rPr>
        <w:t xml:space="preserve">        31,60 </w:t>
      </w:r>
      <w:r w:rsidRPr="005B1611">
        <w:rPr>
          <w:rStyle w:val="Domylnaczcionkaakapitu2"/>
        </w:rPr>
        <w:t>m</w:t>
      </w:r>
      <w:r w:rsidRPr="005B1611">
        <w:rPr>
          <w:rStyle w:val="Domylnaczcionkaakapitu2"/>
          <w:vertAlign w:val="superscript"/>
        </w:rPr>
        <w:t>2</w:t>
      </w:r>
      <w:r>
        <w:rPr>
          <w:rStyle w:val="Domylnaczcionkaakapitu2"/>
        </w:rPr>
        <w:t xml:space="preserve"> </w:t>
      </w:r>
    </w:p>
    <w:p w:rsidR="00A54980" w:rsidRPr="005B1611" w:rsidRDefault="00A54980" w:rsidP="00A54980">
      <w:pPr>
        <w:spacing w:line="276" w:lineRule="auto"/>
      </w:pPr>
      <w:r w:rsidRPr="005B1611">
        <w:rPr>
          <w:rStyle w:val="Domylnaczcionkaakapitu2"/>
        </w:rPr>
        <w:t xml:space="preserve">kubatura:                               </w:t>
      </w:r>
      <w:r>
        <w:rPr>
          <w:rStyle w:val="Domylnaczcionkaakapitu2"/>
        </w:rPr>
        <w:t xml:space="preserve">     </w:t>
      </w:r>
      <w:r w:rsidRPr="005B1611">
        <w:rPr>
          <w:rStyle w:val="Domylnaczcionkaakapitu2"/>
        </w:rPr>
        <w:t xml:space="preserve">  </w:t>
      </w:r>
      <w:r>
        <w:rPr>
          <w:rStyle w:val="Domylnaczcionkaakapitu2"/>
        </w:rPr>
        <w:t xml:space="preserve">127,10 </w:t>
      </w:r>
      <w:r w:rsidRPr="005B1611">
        <w:rPr>
          <w:rStyle w:val="Domylnaczcionkaakapitu2"/>
        </w:rPr>
        <w:t>m</w:t>
      </w:r>
      <w:r w:rsidRPr="005B1611">
        <w:rPr>
          <w:rStyle w:val="Domylnaczcionkaakapitu2"/>
          <w:vertAlign w:val="superscript"/>
        </w:rPr>
        <w:t>3</w:t>
      </w:r>
      <w:r>
        <w:rPr>
          <w:rStyle w:val="Domylnaczcionkaakapitu2"/>
        </w:rPr>
        <w:t xml:space="preserve">                   </w:t>
      </w:r>
    </w:p>
    <w:p w:rsidR="000F0B69" w:rsidRPr="00A54980" w:rsidRDefault="000F0B69" w:rsidP="000F0B69">
      <w:pPr>
        <w:ind w:left="1260" w:hanging="1260"/>
        <w:jc w:val="both"/>
      </w:pPr>
      <w:r w:rsidRPr="00474403">
        <w:rPr>
          <w:b/>
          <w:u w:val="single"/>
        </w:rPr>
        <w:lastRenderedPageBreak/>
        <w:t>parametry</w:t>
      </w:r>
      <w:r>
        <w:rPr>
          <w:b/>
          <w:u w:val="single"/>
        </w:rPr>
        <w:t xml:space="preserve"> budynku pompowni: </w:t>
      </w:r>
      <w:r w:rsidRPr="00474403">
        <w:t xml:space="preserve">      </w:t>
      </w:r>
    </w:p>
    <w:p w:rsidR="000F0B69" w:rsidRPr="005B1611" w:rsidRDefault="000F0B69" w:rsidP="000F0B69">
      <w:pPr>
        <w:spacing w:line="276" w:lineRule="auto"/>
      </w:pPr>
      <w:r w:rsidRPr="005B1611">
        <w:rPr>
          <w:rStyle w:val="Domylnaczcionkaakapitu2"/>
        </w:rPr>
        <w:t xml:space="preserve">powierzchnia zabudowy:        </w:t>
      </w:r>
      <w:r>
        <w:rPr>
          <w:rStyle w:val="Domylnaczcionkaakapitu2"/>
        </w:rPr>
        <w:t xml:space="preserve">      </w:t>
      </w:r>
      <w:r w:rsidRPr="005B1611">
        <w:rPr>
          <w:rStyle w:val="Domylnaczcionkaakapitu2"/>
        </w:rPr>
        <w:t xml:space="preserve"> </w:t>
      </w:r>
      <w:r>
        <w:rPr>
          <w:rStyle w:val="Domylnaczcionkaakapitu2"/>
        </w:rPr>
        <w:t>65,70</w:t>
      </w:r>
      <w:r w:rsidRPr="005B1611">
        <w:rPr>
          <w:rStyle w:val="Domylnaczcionkaakapitu2"/>
        </w:rPr>
        <w:t xml:space="preserve"> m</w:t>
      </w:r>
      <w:r w:rsidRPr="005B1611">
        <w:rPr>
          <w:rStyle w:val="Domylnaczcionkaakapitu2"/>
          <w:vertAlign w:val="superscript"/>
        </w:rPr>
        <w:t>2</w:t>
      </w:r>
      <w:r>
        <w:rPr>
          <w:rStyle w:val="Domylnaczcionkaakapitu2"/>
        </w:rPr>
        <w:t xml:space="preserve">                    </w:t>
      </w:r>
    </w:p>
    <w:p w:rsidR="000F0B69" w:rsidRDefault="000F0B69" w:rsidP="000F0B69">
      <w:pPr>
        <w:spacing w:line="276" w:lineRule="auto"/>
        <w:rPr>
          <w:rStyle w:val="Domylnaczcionkaakapitu2"/>
        </w:rPr>
      </w:pPr>
      <w:r w:rsidRPr="005B1611">
        <w:rPr>
          <w:rStyle w:val="Domylnaczcionkaakapitu2"/>
        </w:rPr>
        <w:t xml:space="preserve">kubatura:                               </w:t>
      </w:r>
      <w:r>
        <w:rPr>
          <w:rStyle w:val="Domylnaczcionkaakapitu2"/>
        </w:rPr>
        <w:t xml:space="preserve">     </w:t>
      </w:r>
      <w:r w:rsidRPr="005B1611">
        <w:rPr>
          <w:rStyle w:val="Domylnaczcionkaakapitu2"/>
        </w:rPr>
        <w:t xml:space="preserve">  </w:t>
      </w:r>
      <w:r>
        <w:rPr>
          <w:rStyle w:val="Domylnaczcionkaakapitu2"/>
        </w:rPr>
        <w:t xml:space="preserve">275,00 </w:t>
      </w:r>
      <w:r w:rsidRPr="005B1611">
        <w:rPr>
          <w:rStyle w:val="Domylnaczcionkaakapitu2"/>
        </w:rPr>
        <w:t>m</w:t>
      </w:r>
      <w:r w:rsidRPr="005B1611">
        <w:rPr>
          <w:rStyle w:val="Domylnaczcionkaakapitu2"/>
          <w:vertAlign w:val="superscript"/>
        </w:rPr>
        <w:t>3</w:t>
      </w:r>
      <w:r>
        <w:rPr>
          <w:rStyle w:val="Domylnaczcionkaakapitu2"/>
        </w:rPr>
        <w:t xml:space="preserve">      </w:t>
      </w:r>
    </w:p>
    <w:p w:rsidR="000F0B69" w:rsidRDefault="000F0B69" w:rsidP="000F0B69">
      <w:pPr>
        <w:spacing w:line="276" w:lineRule="auto"/>
        <w:rPr>
          <w:rStyle w:val="Domylnaczcionkaakapitu2"/>
        </w:rPr>
      </w:pPr>
    </w:p>
    <w:p w:rsidR="000F0B69" w:rsidRPr="00A54980" w:rsidRDefault="000F0B69" w:rsidP="000F0B69">
      <w:pPr>
        <w:ind w:left="1260" w:hanging="1260"/>
        <w:jc w:val="both"/>
      </w:pPr>
      <w:r w:rsidRPr="00474403">
        <w:rPr>
          <w:b/>
          <w:u w:val="single"/>
        </w:rPr>
        <w:t>parametry</w:t>
      </w:r>
      <w:r>
        <w:rPr>
          <w:b/>
          <w:u w:val="single"/>
        </w:rPr>
        <w:t xml:space="preserve"> wiaty rowerowej: </w:t>
      </w:r>
      <w:r w:rsidRPr="00474403">
        <w:t xml:space="preserve">      </w:t>
      </w:r>
    </w:p>
    <w:p w:rsidR="000F0B69" w:rsidRPr="005B1611" w:rsidRDefault="000F0B69" w:rsidP="000F0B69">
      <w:pPr>
        <w:spacing w:line="276" w:lineRule="auto"/>
      </w:pPr>
      <w:r w:rsidRPr="005B1611">
        <w:rPr>
          <w:rStyle w:val="Domylnaczcionkaakapitu2"/>
        </w:rPr>
        <w:t xml:space="preserve">powierzchnia zabudowy:        </w:t>
      </w:r>
      <w:r>
        <w:rPr>
          <w:rStyle w:val="Domylnaczcionkaakapitu2"/>
        </w:rPr>
        <w:t xml:space="preserve">      </w:t>
      </w:r>
      <w:r w:rsidRPr="005B1611">
        <w:rPr>
          <w:rStyle w:val="Domylnaczcionkaakapitu2"/>
        </w:rPr>
        <w:t xml:space="preserve"> </w:t>
      </w:r>
      <w:r>
        <w:rPr>
          <w:rStyle w:val="Domylnaczcionkaakapitu2"/>
        </w:rPr>
        <w:t>39,63</w:t>
      </w:r>
      <w:r w:rsidRPr="005B1611">
        <w:rPr>
          <w:rStyle w:val="Domylnaczcionkaakapitu2"/>
        </w:rPr>
        <w:t xml:space="preserve"> m</w:t>
      </w:r>
      <w:r w:rsidRPr="005B1611">
        <w:rPr>
          <w:rStyle w:val="Domylnaczcionkaakapitu2"/>
          <w:vertAlign w:val="superscript"/>
        </w:rPr>
        <w:t>2</w:t>
      </w:r>
      <w:r>
        <w:rPr>
          <w:rStyle w:val="Domylnaczcionkaakapitu2"/>
        </w:rPr>
        <w:t xml:space="preserve">                    </w:t>
      </w:r>
    </w:p>
    <w:p w:rsidR="000F0B69" w:rsidRPr="005B1611" w:rsidRDefault="000F0B69" w:rsidP="000F0B69">
      <w:pPr>
        <w:spacing w:line="276" w:lineRule="auto"/>
      </w:pPr>
      <w:r>
        <w:rPr>
          <w:rStyle w:val="Domylnaczcionkaakapitu2"/>
        </w:rPr>
        <w:t xml:space="preserve">             </w:t>
      </w:r>
    </w:p>
    <w:p w:rsidR="00A54980" w:rsidRPr="005B1611" w:rsidRDefault="00A54980">
      <w:pPr>
        <w:spacing w:line="276" w:lineRule="auto"/>
        <w:jc w:val="both"/>
      </w:pPr>
    </w:p>
    <w:p w:rsidR="001533D6" w:rsidRDefault="001533D6" w:rsidP="001533D6">
      <w:pPr>
        <w:jc w:val="both"/>
        <w:rPr>
          <w:color w:val="000000"/>
          <w:kern w:val="0"/>
          <w:lang w:eastAsia="pl-PL"/>
        </w:rPr>
      </w:pPr>
      <w:r>
        <w:rPr>
          <w:b/>
          <w:color w:val="000000"/>
        </w:rPr>
        <w:t xml:space="preserve">adres zamierzenia budowlanego: </w:t>
      </w:r>
      <w:r>
        <w:rPr>
          <w:color w:val="000000"/>
        </w:rPr>
        <w:t>działka nr ew. 135/2, 136/2, 137, 138, 139, 140</w:t>
      </w:r>
      <w:r>
        <w:rPr>
          <w:color w:val="000000"/>
          <w:kern w:val="0"/>
          <w:lang w:eastAsia="pl-PL"/>
        </w:rPr>
        <w:t xml:space="preserve">, </w:t>
      </w:r>
    </w:p>
    <w:p w:rsidR="001533D6" w:rsidRDefault="001533D6" w:rsidP="001533D6">
      <w:pPr>
        <w:jc w:val="both"/>
      </w:pPr>
      <w:r>
        <w:rPr>
          <w:color w:val="000000"/>
          <w:kern w:val="0"/>
          <w:lang w:eastAsia="pl-PL"/>
        </w:rPr>
        <w:t xml:space="preserve">                                                      w obrębie 0028 Wilcza Góra</w:t>
      </w:r>
    </w:p>
    <w:p w:rsidR="001533D6" w:rsidRDefault="001533D6" w:rsidP="001533D6">
      <w:pPr>
        <w:jc w:val="both"/>
      </w:pPr>
      <w:r>
        <w:rPr>
          <w:color w:val="000000"/>
          <w:kern w:val="0"/>
          <w:lang w:eastAsia="pl-PL"/>
        </w:rPr>
        <w:t xml:space="preserve">                         </w:t>
      </w:r>
      <w:r w:rsidR="003A363C">
        <w:rPr>
          <w:color w:val="000000"/>
          <w:kern w:val="0"/>
          <w:lang w:eastAsia="pl-PL"/>
        </w:rPr>
        <w:t xml:space="preserve">                             </w:t>
      </w:r>
      <w:r>
        <w:rPr>
          <w:color w:val="000000"/>
        </w:rPr>
        <w:t>w jedn. ew. 141803_2 Lesznowola</w:t>
      </w:r>
    </w:p>
    <w:p w:rsidR="001533D6" w:rsidRPr="008305C4" w:rsidRDefault="001533D6">
      <w:pPr>
        <w:ind w:left="1260" w:hanging="1260"/>
        <w:jc w:val="both"/>
        <w:rPr>
          <w:color w:val="000000"/>
        </w:rPr>
      </w:pPr>
      <w:r>
        <w:rPr>
          <w:b/>
          <w:color w:val="000000"/>
        </w:rPr>
        <w:t xml:space="preserve">identyfikator działki ew.: </w:t>
      </w:r>
      <w:r w:rsidRPr="008305C4">
        <w:rPr>
          <w:color w:val="000000"/>
        </w:rPr>
        <w:t>141803_2.0028.135/2</w:t>
      </w:r>
    </w:p>
    <w:p w:rsidR="001533D6" w:rsidRPr="008305C4" w:rsidRDefault="00496329">
      <w:pPr>
        <w:ind w:left="1260" w:hanging="1260"/>
        <w:jc w:val="both"/>
        <w:rPr>
          <w:color w:val="000000"/>
        </w:rPr>
      </w:pPr>
      <w:r>
        <w:rPr>
          <w:color w:val="000000"/>
        </w:rPr>
        <w:t xml:space="preserve">                                            </w:t>
      </w:r>
      <w:r w:rsidR="001533D6" w:rsidRPr="008305C4">
        <w:rPr>
          <w:color w:val="000000"/>
        </w:rPr>
        <w:t>141803_</w:t>
      </w:r>
      <w:r w:rsidR="008305C4" w:rsidRPr="008305C4">
        <w:rPr>
          <w:color w:val="000000"/>
        </w:rPr>
        <w:t>2.0028.136</w:t>
      </w:r>
      <w:r w:rsidR="001533D6" w:rsidRPr="008305C4">
        <w:rPr>
          <w:color w:val="000000"/>
        </w:rPr>
        <w:t>/2</w:t>
      </w:r>
    </w:p>
    <w:p w:rsidR="001533D6" w:rsidRPr="008305C4" w:rsidRDefault="00496329">
      <w:pPr>
        <w:ind w:left="1260" w:hanging="1260"/>
        <w:jc w:val="both"/>
        <w:rPr>
          <w:color w:val="000000"/>
        </w:rPr>
      </w:pPr>
      <w:r>
        <w:rPr>
          <w:color w:val="000000"/>
        </w:rPr>
        <w:t xml:space="preserve">                                            </w:t>
      </w:r>
      <w:r w:rsidR="008305C4" w:rsidRPr="008305C4">
        <w:rPr>
          <w:color w:val="000000"/>
        </w:rPr>
        <w:t>141803_2.0028.137</w:t>
      </w:r>
    </w:p>
    <w:p w:rsidR="001533D6" w:rsidRPr="008305C4" w:rsidRDefault="00496329">
      <w:pPr>
        <w:ind w:left="1260" w:hanging="1260"/>
        <w:jc w:val="both"/>
        <w:rPr>
          <w:color w:val="000000"/>
        </w:rPr>
      </w:pPr>
      <w:r>
        <w:rPr>
          <w:color w:val="000000"/>
        </w:rPr>
        <w:t xml:space="preserve">                                            </w:t>
      </w:r>
      <w:r w:rsidR="008305C4" w:rsidRPr="008305C4">
        <w:rPr>
          <w:color w:val="000000"/>
        </w:rPr>
        <w:t>141803_2.0028.138</w:t>
      </w:r>
    </w:p>
    <w:p w:rsidR="008305C4" w:rsidRPr="008305C4" w:rsidRDefault="00496329">
      <w:pPr>
        <w:ind w:left="1260" w:hanging="1260"/>
        <w:jc w:val="both"/>
        <w:rPr>
          <w:color w:val="000000"/>
        </w:rPr>
      </w:pPr>
      <w:r>
        <w:rPr>
          <w:color w:val="000000"/>
        </w:rPr>
        <w:t xml:space="preserve">                                            </w:t>
      </w:r>
      <w:r w:rsidR="008305C4" w:rsidRPr="008305C4">
        <w:rPr>
          <w:color w:val="000000"/>
        </w:rPr>
        <w:t>141803_2.0028.139</w:t>
      </w:r>
    </w:p>
    <w:p w:rsidR="008305C4" w:rsidRPr="008305C4" w:rsidRDefault="00496329">
      <w:pPr>
        <w:ind w:left="1260" w:hanging="1260"/>
        <w:jc w:val="both"/>
        <w:rPr>
          <w:color w:val="000000"/>
        </w:rPr>
      </w:pPr>
      <w:r>
        <w:rPr>
          <w:color w:val="000000"/>
        </w:rPr>
        <w:t xml:space="preserve">                                            </w:t>
      </w:r>
      <w:r w:rsidR="008305C4" w:rsidRPr="008305C4">
        <w:rPr>
          <w:color w:val="000000"/>
        </w:rPr>
        <w:t>141803_2.0028.140</w:t>
      </w:r>
    </w:p>
    <w:p w:rsidR="008305C4" w:rsidRDefault="008305C4">
      <w:pPr>
        <w:ind w:left="1260" w:hanging="1260"/>
        <w:jc w:val="both"/>
        <w:rPr>
          <w:b/>
          <w:color w:val="000000"/>
        </w:rPr>
      </w:pPr>
    </w:p>
    <w:p w:rsidR="00576BD2" w:rsidRDefault="00E54BB2">
      <w:pPr>
        <w:ind w:left="1260" w:hanging="1260"/>
        <w:jc w:val="both"/>
      </w:pPr>
      <w:r>
        <w:rPr>
          <w:rStyle w:val="Domylnaczcionkaakapitu2"/>
          <w:b/>
          <w:color w:val="000000"/>
        </w:rPr>
        <w:t>kategorie obiektu budowlanego</w:t>
      </w:r>
      <w:r w:rsidR="008305C4">
        <w:rPr>
          <w:rStyle w:val="Domylnaczcionkaakapitu2"/>
          <w:b/>
          <w:color w:val="000000"/>
        </w:rPr>
        <w:t>: XVIII/XVI, III, VIII, XXII</w:t>
      </w:r>
    </w:p>
    <w:p w:rsidR="00576BD2" w:rsidRDefault="00576BD2">
      <w:pPr>
        <w:ind w:left="1300" w:hanging="1500"/>
        <w:jc w:val="both"/>
      </w:pPr>
      <w:r>
        <w:t xml:space="preserve">                                      </w:t>
      </w:r>
    </w:p>
    <w:p w:rsidR="00576BD2" w:rsidRDefault="00576BD2">
      <w:pPr>
        <w:jc w:val="both"/>
      </w:pPr>
      <w:r>
        <w:rPr>
          <w:rStyle w:val="Domylnaczcionkaakapitu2"/>
          <w:b/>
        </w:rPr>
        <w:t>projektant:</w:t>
      </w:r>
    </w:p>
    <w:p w:rsidR="00E54BB2" w:rsidRDefault="00E54BB2" w:rsidP="00E54BB2">
      <w:pPr>
        <w:jc w:val="both"/>
        <w:rPr>
          <w:color w:val="FF0000"/>
        </w:rPr>
      </w:pPr>
      <w:r>
        <w:t>-</w:t>
      </w:r>
      <w:r w:rsidR="008305C4">
        <w:rPr>
          <w:b/>
        </w:rPr>
        <w:t xml:space="preserve"> mgr inż. arch. Michał Birecki</w:t>
      </w:r>
      <w:r>
        <w:rPr>
          <w:b/>
        </w:rPr>
        <w:t xml:space="preserve"> </w:t>
      </w:r>
      <w:r>
        <w:t xml:space="preserve">posiadający </w:t>
      </w:r>
      <w:r>
        <w:rPr>
          <w:bCs/>
        </w:rPr>
        <w:t>uprawnienia budow</w:t>
      </w:r>
      <w:r w:rsidR="008305C4">
        <w:rPr>
          <w:bCs/>
        </w:rPr>
        <w:t>lane nr ew.  MA/035/10</w:t>
      </w:r>
      <w:r>
        <w:rPr>
          <w:bCs/>
        </w:rPr>
        <w:t xml:space="preserve"> w specjalności architektonicznej. </w:t>
      </w:r>
      <w:r>
        <w:t>Członek Mazowieckiej Okręgowej Izby  Architektów RP nr ew</w:t>
      </w:r>
      <w:r w:rsidRPr="0024140F">
        <w:t xml:space="preserve">. </w:t>
      </w:r>
      <w:r w:rsidR="0024140F" w:rsidRPr="0024140F">
        <w:t>MA-2249</w:t>
      </w:r>
      <w:r w:rsidRPr="0024140F">
        <w:t xml:space="preserve"> – branża</w:t>
      </w:r>
      <w:r>
        <w:t xml:space="preserve"> architektoniczna;</w:t>
      </w:r>
    </w:p>
    <w:p w:rsidR="00E54BB2" w:rsidRDefault="00E54BB2" w:rsidP="00E54BB2">
      <w:pPr>
        <w:jc w:val="both"/>
        <w:rPr>
          <w:color w:val="FF0000"/>
        </w:rPr>
      </w:pPr>
      <w:r>
        <w:t>-</w:t>
      </w:r>
      <w:r w:rsidR="008305C4">
        <w:rPr>
          <w:b/>
        </w:rPr>
        <w:t>mgr inż. Piotr Szaciło</w:t>
      </w:r>
      <w:r>
        <w:t xml:space="preserve"> posiadający uprawnienia budowlane nr ew.  </w:t>
      </w:r>
      <w:r w:rsidR="008305C4">
        <w:t xml:space="preserve">PDL/0001/PWOK/14 </w:t>
      </w:r>
      <w:r>
        <w:t>w specjalności konstrukcyjno</w:t>
      </w:r>
      <w:r w:rsidR="008305C4">
        <w:t>-budowlanej. Członek Podlaskiej</w:t>
      </w:r>
      <w:r>
        <w:t xml:space="preserve"> Okręgowej Izby I</w:t>
      </w:r>
      <w:r w:rsidR="008305C4">
        <w:t>nżynierów Budownictwa nr ew.  PDL/BO</w:t>
      </w:r>
      <w:r w:rsidR="0024140F" w:rsidRPr="0024140F">
        <w:t>/ 0088</w:t>
      </w:r>
      <w:r w:rsidR="008305C4" w:rsidRPr="0024140F">
        <w:t>/14</w:t>
      </w:r>
      <w:r w:rsidRPr="0024140F">
        <w:t>-</w:t>
      </w:r>
      <w:r>
        <w:t xml:space="preserve"> branża konstrukcyjna;</w:t>
      </w:r>
    </w:p>
    <w:p w:rsidR="00E54BB2" w:rsidRPr="008305C4" w:rsidRDefault="00E54BB2" w:rsidP="00E54BB2">
      <w:pPr>
        <w:jc w:val="both"/>
        <w:rPr>
          <w:color w:val="FF0000"/>
        </w:rPr>
      </w:pPr>
      <w:r>
        <w:t xml:space="preserve">- </w:t>
      </w:r>
      <w:r w:rsidR="008305C4">
        <w:rPr>
          <w:b/>
        </w:rPr>
        <w:t>mgr inż. Emil Wyszyński</w:t>
      </w:r>
      <w:r>
        <w:t xml:space="preserve"> posiadający uprawnienia </w:t>
      </w:r>
      <w:r w:rsidR="008305C4">
        <w:t>budowlane nr ew. MAZ/0041/PWBS/17</w:t>
      </w:r>
      <w:r>
        <w:t xml:space="preserve"> w specjalności instalacyjnej w  zakresie sieci, instalacji i urządzeń cieplnych, wentylacyjnych,  gazowych, w</w:t>
      </w:r>
      <w:r w:rsidR="008305C4">
        <w:t>odociągowych i kanalizacyjnych</w:t>
      </w:r>
      <w:r>
        <w:t xml:space="preserve">. Członek Mazowieckiej Okręgowej Izby Inżynierów Budownictwa nr ew. </w:t>
      </w:r>
      <w:r w:rsidR="0024140F" w:rsidRPr="0024140F">
        <w:t>MAZ/IS/0544/17</w:t>
      </w:r>
      <w:r w:rsidRPr="0024140F">
        <w:t xml:space="preserve"> - branża sanitarna;</w:t>
      </w:r>
    </w:p>
    <w:p w:rsidR="004E4072" w:rsidRDefault="00E54BB2" w:rsidP="00474403">
      <w:pPr>
        <w:jc w:val="both"/>
      </w:pPr>
      <w:r>
        <w:t>-</w:t>
      </w:r>
      <w:r w:rsidR="008305C4">
        <w:rPr>
          <w:b/>
        </w:rPr>
        <w:t>mgr inż. Tomasz Jakimiec</w:t>
      </w:r>
      <w:r>
        <w:t xml:space="preserve"> posiadający uprawnienia budow</w:t>
      </w:r>
      <w:r w:rsidR="008305C4">
        <w:t xml:space="preserve">lane nr ew. </w:t>
      </w:r>
      <w:r w:rsidR="0024140F">
        <w:t>MAZ/0050/PBE/16</w:t>
      </w:r>
      <w:r>
        <w:t xml:space="preserve"> w specjalności instalacyjnej w zakresie sieci, instalacji i urządzeń elektrycznych i elektro</w:t>
      </w:r>
      <w:r w:rsidR="008305C4">
        <w:t>energetycznych. Członek Mazowieckiej</w:t>
      </w:r>
      <w:r>
        <w:t xml:space="preserve"> Okręgowej Izby I</w:t>
      </w:r>
      <w:r w:rsidR="008305C4">
        <w:t xml:space="preserve">nżynierów Budownictwa nr ew. </w:t>
      </w:r>
      <w:r w:rsidR="008305C4" w:rsidRPr="0024140F">
        <w:t>MAZ</w:t>
      </w:r>
      <w:r w:rsidR="0024140F" w:rsidRPr="0024140F">
        <w:t>/IE/0571/16</w:t>
      </w:r>
      <w:r w:rsidRPr="0024140F">
        <w:t xml:space="preserve"> - branża elektryczna.</w:t>
      </w:r>
    </w:p>
    <w:p w:rsidR="004D76BD" w:rsidRDefault="004D76BD" w:rsidP="00474403">
      <w:pPr>
        <w:jc w:val="both"/>
      </w:pPr>
      <w:r>
        <w:t xml:space="preserve">- </w:t>
      </w:r>
      <w:r w:rsidRPr="004D76BD">
        <w:rPr>
          <w:b/>
        </w:rPr>
        <w:t>mgr. inż. Maciej Brzostek</w:t>
      </w:r>
      <w:r>
        <w:t xml:space="preserve"> posiadający uprawnienia budowlane nr ew. LUB/0370/PWBT/18 w specjalności instalacyjnej w zakresie sieci, instalacji i urządzeń telekomunikacyjnych. Członek Lubelskiej Okręgowej Izby Inżynierów Budownictwa nr ew.   </w:t>
      </w:r>
      <w:r w:rsidR="0024140F">
        <w:t>LUB/IE/0199/14</w:t>
      </w:r>
      <w:r>
        <w:t xml:space="preserve"> – branża teletechniczna;</w:t>
      </w:r>
    </w:p>
    <w:p w:rsidR="00AA2F94" w:rsidRDefault="00AA2F94" w:rsidP="00474403">
      <w:pPr>
        <w:jc w:val="both"/>
      </w:pPr>
      <w:r>
        <w:t xml:space="preserve">- </w:t>
      </w:r>
      <w:r w:rsidRPr="00AA2F94">
        <w:rPr>
          <w:b/>
        </w:rPr>
        <w:t>inż. Przemysław Wiącek</w:t>
      </w:r>
      <w:r>
        <w:t xml:space="preserve"> posiadający uprawnienia budowlane nr ew. MAZ/0396/POOD/06 w specjalności drogowej. Członek Mazowieckiej Okręgowej Izby Inżynierów Budownictwa nr ew. – MAZ/BD/0177/07- branża drogowa </w:t>
      </w:r>
    </w:p>
    <w:p w:rsidR="00576BD2" w:rsidRDefault="00576BD2">
      <w:pPr>
        <w:jc w:val="both"/>
        <w:rPr>
          <w:color w:val="000000"/>
          <w:sz w:val="16"/>
          <w:szCs w:val="16"/>
        </w:rPr>
      </w:pPr>
    </w:p>
    <w:p w:rsidR="00C07549" w:rsidRDefault="00C07549" w:rsidP="00C07549">
      <w:pPr>
        <w:pStyle w:val="Standard"/>
        <w:jc w:val="both"/>
      </w:pPr>
      <w:r>
        <w:t xml:space="preserve">Informuję, że ustawa – Prawo budowlane, zobowiązuje inwestora przed rozpoczęciem robót budowlanych: </w:t>
      </w:r>
    </w:p>
    <w:p w:rsidR="00C07549" w:rsidRDefault="00C07549" w:rsidP="00906F51">
      <w:pPr>
        <w:pStyle w:val="Standard"/>
        <w:numPr>
          <w:ilvl w:val="0"/>
          <w:numId w:val="18"/>
        </w:numPr>
        <w:ind w:left="0"/>
        <w:jc w:val="both"/>
      </w:pPr>
      <w:r>
        <w:t xml:space="preserve">zgodnie z art. 41 ust. 4, zawiadomić organ nadzoru budowlanego oraz projektanta sprawującego nadzór nad zgodnością realizacji budowy z projektem, o zamierzonym terminie rozpoczęcia robót budowlanych, dla których wymagane jest uzyskanie decyzji o pozwoleniu na budowę, </w:t>
      </w:r>
    </w:p>
    <w:p w:rsidR="00C07549" w:rsidRDefault="00C07549" w:rsidP="00906F51">
      <w:pPr>
        <w:pStyle w:val="Standard"/>
        <w:numPr>
          <w:ilvl w:val="0"/>
          <w:numId w:val="18"/>
        </w:numPr>
        <w:ind w:left="0"/>
        <w:jc w:val="both"/>
      </w:pPr>
      <w:r>
        <w:lastRenderedPageBreak/>
        <w:t xml:space="preserve">zgodnie z art.  42: </w:t>
      </w:r>
    </w:p>
    <w:p w:rsidR="00C07549" w:rsidRDefault="00C07549" w:rsidP="00C07549">
      <w:pPr>
        <w:pStyle w:val="Standard"/>
        <w:jc w:val="both"/>
      </w:pPr>
      <w:r>
        <w:t xml:space="preserve">1) zapewnić sporządzenie projektu technicznego, z zastrzeżeniem art. 34 ust. 3b, </w:t>
      </w:r>
    </w:p>
    <w:p w:rsidR="00C07549" w:rsidRDefault="00C07549" w:rsidP="00C07549">
      <w:pPr>
        <w:pStyle w:val="Standard"/>
        <w:jc w:val="both"/>
      </w:pPr>
      <w:r>
        <w:t xml:space="preserve">2) ustanowić kierownika budowy, </w:t>
      </w:r>
    </w:p>
    <w:p w:rsidR="00C07549" w:rsidRDefault="00C07549" w:rsidP="00C07549">
      <w:pPr>
        <w:pStyle w:val="Standard"/>
        <w:jc w:val="both"/>
      </w:pPr>
      <w:r>
        <w:t xml:space="preserve">3) ustanowić inspektora nadzoru inwestorskiego, w wypadku, gdy taki obowiązek wynika z niniejszej decyzji  </w:t>
      </w:r>
    </w:p>
    <w:p w:rsidR="00C07549" w:rsidRDefault="00C07549" w:rsidP="00C07549">
      <w:pPr>
        <w:pStyle w:val="Standard"/>
        <w:jc w:val="both"/>
      </w:pPr>
      <w:r>
        <w:t>4) przekazać kierownikowi budowy projekt budowlany, w tym projekt techniczny, o ile jest wymagany;</w:t>
      </w:r>
    </w:p>
    <w:p w:rsidR="00C07549" w:rsidRDefault="00C07549" w:rsidP="00906F51">
      <w:pPr>
        <w:pStyle w:val="Akapitzlist"/>
        <w:widowControl/>
        <w:numPr>
          <w:ilvl w:val="0"/>
          <w:numId w:val="19"/>
        </w:numPr>
        <w:pBdr>
          <w:top w:val="none" w:sz="0" w:space="0" w:color="auto"/>
          <w:left w:val="none" w:sz="0" w:space="0" w:color="auto"/>
          <w:bottom w:val="none" w:sz="0" w:space="0" w:color="auto"/>
          <w:right w:val="none" w:sz="0" w:space="0" w:color="auto"/>
        </w:pBdr>
        <w:suppressAutoHyphens w:val="0"/>
        <w:autoSpaceDN w:val="0"/>
        <w:ind w:left="0"/>
        <w:textAlignment w:val="auto"/>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zgodnie z art. 45 ust. 4: wystąpić do organu architektoniczno-budowlanego, w celu:</w:t>
      </w:r>
    </w:p>
    <w:p w:rsidR="00C07549" w:rsidRDefault="00C07549" w:rsidP="00C07549">
      <w:pPr>
        <w:suppressAutoHyphens w:val="0"/>
        <w:textAlignment w:val="auto"/>
        <w:rPr>
          <w:kern w:val="0"/>
          <w:lang w:eastAsia="pl-PL"/>
        </w:rPr>
      </w:pPr>
      <w:r>
        <w:rPr>
          <w:kern w:val="0"/>
          <w:lang w:eastAsia="pl-PL"/>
        </w:rPr>
        <w:t>1) ostemplowania przedłożonego dziennika budowy albo</w:t>
      </w:r>
    </w:p>
    <w:p w:rsidR="00C07549" w:rsidRDefault="00C07549" w:rsidP="00C07549">
      <w:pPr>
        <w:suppressAutoHyphens w:val="0"/>
        <w:textAlignment w:val="auto"/>
        <w:rPr>
          <w:kern w:val="0"/>
          <w:lang w:eastAsia="pl-PL"/>
        </w:rPr>
      </w:pPr>
      <w:r>
        <w:rPr>
          <w:kern w:val="0"/>
          <w:lang w:eastAsia="pl-PL"/>
        </w:rPr>
        <w:t>2) wydania i ostemplowania dziennika budowy.</w:t>
      </w:r>
    </w:p>
    <w:p w:rsidR="00C07549" w:rsidRPr="00360746" w:rsidRDefault="00C07549" w:rsidP="00C07549">
      <w:pPr>
        <w:suppressAutoHyphens w:val="0"/>
        <w:textAlignment w:val="auto"/>
        <w:rPr>
          <w:kern w:val="0"/>
          <w:lang w:eastAsia="pl-PL"/>
        </w:rPr>
      </w:pPr>
    </w:p>
    <w:p w:rsidR="00C07549" w:rsidRDefault="00C07549" w:rsidP="00C07549">
      <w:pPr>
        <w:pStyle w:val="Standard"/>
        <w:jc w:val="both"/>
        <w:rPr>
          <w:b/>
        </w:rPr>
      </w:pPr>
      <w:r>
        <w:rPr>
          <w:b/>
        </w:rPr>
        <w:t xml:space="preserve">Zgodnie z art.  36.  Ustawy – Prawo budowlane, </w:t>
      </w:r>
    </w:p>
    <w:p w:rsidR="00C07549" w:rsidRDefault="00C07549" w:rsidP="00906F51">
      <w:pPr>
        <w:pStyle w:val="Standard"/>
        <w:numPr>
          <w:ilvl w:val="0"/>
          <w:numId w:val="20"/>
        </w:numPr>
        <w:jc w:val="both"/>
      </w:pPr>
      <w:r>
        <w:t>określam szczególne warunki zabezpieczenia terenu budowy i prowadzenia robót budowlanych:</w:t>
      </w:r>
    </w:p>
    <w:p w:rsidR="00C07549" w:rsidRDefault="00C07549" w:rsidP="00906F51">
      <w:pPr>
        <w:pStyle w:val="Standard"/>
        <w:numPr>
          <w:ilvl w:val="0"/>
          <w:numId w:val="21"/>
        </w:numPr>
        <w:ind w:left="0"/>
        <w:jc w:val="both"/>
      </w:pPr>
      <w:r>
        <w:t>zgodnie z art. 43 ust. 1 pkt 1 ustawy – Prawo budowlane, obiekty budowlane podlegają geodezyjnemu wyznaczeniu w terenie, a po wybudowaniu – geodezyjnej inwentaryzacji powykonawczej.</w:t>
      </w:r>
      <w:r>
        <w:rPr>
          <w:i/>
        </w:rPr>
        <w:t xml:space="preserve"> </w:t>
      </w:r>
    </w:p>
    <w:p w:rsidR="00C07549" w:rsidRDefault="00C07549" w:rsidP="00906F51">
      <w:pPr>
        <w:pStyle w:val="Akapitzlist"/>
        <w:numPr>
          <w:ilvl w:val="0"/>
          <w:numId w:val="21"/>
        </w:numPr>
        <w:pBdr>
          <w:top w:val="none" w:sz="0" w:space="0" w:color="auto"/>
          <w:left w:val="none" w:sz="0" w:space="0" w:color="auto"/>
          <w:bottom w:val="none" w:sz="0" w:space="0" w:color="auto"/>
          <w:right w:val="none" w:sz="0" w:space="0" w:color="auto"/>
        </w:pBdr>
        <w:autoSpaceDN w:val="0"/>
        <w:ind w:left="0"/>
        <w:jc w:val="both"/>
      </w:pPr>
      <w:r>
        <w:t>zgodnie z art. 45 ust. 7 ustawy – Prawo budowlane, przed rozpoczęciem robót budowlanych należy dokonać w dzienniku budowy wpisu osób, które pełnią funkcje kierownika budowy i inspektora nadzoru inwestorskiego. Osoby te są obowiązane potwierdzić podpisem przyjęcie powierzonych im funkcji.</w:t>
      </w:r>
    </w:p>
    <w:p w:rsidR="00C07549" w:rsidRDefault="00C07549" w:rsidP="00906F51">
      <w:pPr>
        <w:pStyle w:val="Akapitzlist"/>
        <w:numPr>
          <w:ilvl w:val="0"/>
          <w:numId w:val="21"/>
        </w:numPr>
        <w:pBdr>
          <w:top w:val="none" w:sz="0" w:space="0" w:color="auto"/>
          <w:left w:val="none" w:sz="0" w:space="0" w:color="auto"/>
          <w:bottom w:val="none" w:sz="0" w:space="0" w:color="auto"/>
          <w:right w:val="none" w:sz="0" w:space="0" w:color="auto"/>
        </w:pBdr>
        <w:autoSpaceDN w:val="0"/>
        <w:ind w:left="0"/>
        <w:jc w:val="both"/>
        <w:rPr>
          <w:rFonts w:ascii="Times New Roman" w:eastAsia="Times New Roman" w:hAnsi="Times New Roman" w:cs="Times New Roman"/>
          <w:szCs w:val="24"/>
          <w:lang w:bidi="ar-SA"/>
        </w:rPr>
      </w:pPr>
      <w:r>
        <w:rPr>
          <w:rFonts w:ascii="Times New Roman" w:eastAsia="Times New Roman" w:hAnsi="Times New Roman" w:cs="Times New Roman"/>
          <w:szCs w:val="24"/>
          <w:lang w:bidi="ar-SA"/>
        </w:rPr>
        <w:t>zgodnie z art. 45 a ustawy Prawo budowlane, przed rozpoczęciem budowy kierownik budowy jest obowiązany:</w:t>
      </w:r>
    </w:p>
    <w:p w:rsidR="00C07549" w:rsidRDefault="00C07549" w:rsidP="00C07549">
      <w:pPr>
        <w:pStyle w:val="Akapitzlist"/>
        <w:ind w:left="0"/>
        <w:jc w:val="both"/>
        <w:rPr>
          <w:rFonts w:ascii="Times New Roman" w:eastAsia="Times New Roman" w:hAnsi="Times New Roman" w:cs="Times New Roman"/>
          <w:szCs w:val="24"/>
          <w:lang w:bidi="ar-SA"/>
        </w:rPr>
      </w:pPr>
      <w:r>
        <w:rPr>
          <w:rFonts w:ascii="Times New Roman" w:eastAsia="Times New Roman" w:hAnsi="Times New Roman" w:cs="Times New Roman"/>
          <w:szCs w:val="24"/>
          <w:lang w:bidi="ar-SA"/>
        </w:rPr>
        <w:t>1) zabezpieczyć teren budowy;</w:t>
      </w:r>
    </w:p>
    <w:p w:rsidR="00C07549" w:rsidRDefault="00C07549" w:rsidP="00C07549">
      <w:pPr>
        <w:pStyle w:val="Akapitzlist"/>
        <w:ind w:left="0"/>
        <w:jc w:val="both"/>
        <w:rPr>
          <w:rFonts w:ascii="Times New Roman" w:eastAsia="Times New Roman" w:hAnsi="Times New Roman" w:cs="Times New Roman"/>
          <w:szCs w:val="24"/>
          <w:lang w:bidi="ar-SA"/>
        </w:rPr>
      </w:pPr>
      <w:r>
        <w:rPr>
          <w:rFonts w:ascii="Times New Roman" w:eastAsia="Times New Roman" w:hAnsi="Times New Roman" w:cs="Times New Roman"/>
          <w:szCs w:val="24"/>
          <w:lang w:bidi="ar-SA"/>
        </w:rPr>
        <w:t>2) potwierdzić wpisem w dzienniku budowy otrzymanie od inwestora zatwierdzonego projektu budowlanego oraz, o ile jest wymagany – projektu technicznego;</w:t>
      </w:r>
    </w:p>
    <w:p w:rsidR="00C07549" w:rsidRDefault="00C07549" w:rsidP="00C07549">
      <w:pPr>
        <w:pStyle w:val="Akapitzlist"/>
        <w:ind w:left="0"/>
        <w:jc w:val="both"/>
        <w:rPr>
          <w:rFonts w:ascii="Times New Roman" w:eastAsia="Times New Roman" w:hAnsi="Times New Roman" w:cs="Times New Roman"/>
          <w:szCs w:val="24"/>
          <w:lang w:bidi="ar-SA"/>
        </w:rPr>
      </w:pPr>
      <w:r>
        <w:rPr>
          <w:rFonts w:ascii="Times New Roman" w:eastAsia="Times New Roman" w:hAnsi="Times New Roman" w:cs="Times New Roman"/>
          <w:szCs w:val="24"/>
          <w:lang w:bidi="ar-SA"/>
        </w:rPr>
        <w:t>3) umieścić na terenie budowy, w widocznym miejscu:</w:t>
      </w:r>
    </w:p>
    <w:p w:rsidR="00C07549" w:rsidRDefault="00C07549" w:rsidP="00C07549">
      <w:pPr>
        <w:pStyle w:val="Akapitzlist"/>
        <w:ind w:left="0"/>
        <w:jc w:val="both"/>
        <w:rPr>
          <w:rFonts w:ascii="Times New Roman" w:eastAsia="Times New Roman" w:hAnsi="Times New Roman" w:cs="Times New Roman"/>
          <w:szCs w:val="24"/>
          <w:lang w:bidi="ar-SA"/>
        </w:rPr>
      </w:pPr>
      <w:r>
        <w:rPr>
          <w:rFonts w:ascii="Times New Roman" w:eastAsia="Times New Roman" w:hAnsi="Times New Roman" w:cs="Times New Roman"/>
          <w:szCs w:val="24"/>
          <w:lang w:bidi="ar-SA"/>
        </w:rPr>
        <w:t>a) tablicę informacyjną oraz</w:t>
      </w:r>
    </w:p>
    <w:p w:rsidR="00C07549" w:rsidRDefault="00C07549" w:rsidP="00C07549">
      <w:pPr>
        <w:pStyle w:val="Akapitzlist"/>
        <w:ind w:left="0"/>
        <w:jc w:val="both"/>
        <w:rPr>
          <w:rFonts w:ascii="Times New Roman" w:eastAsia="Times New Roman" w:hAnsi="Times New Roman" w:cs="Times New Roman"/>
          <w:szCs w:val="24"/>
          <w:lang w:bidi="ar-SA"/>
        </w:rPr>
      </w:pPr>
      <w:r>
        <w:rPr>
          <w:rFonts w:ascii="Times New Roman" w:eastAsia="Times New Roman" w:hAnsi="Times New Roman" w:cs="Times New Roman"/>
          <w:szCs w:val="24"/>
          <w:lang w:bidi="ar-SA"/>
        </w:rPr>
        <w:t>b) ogłoszenie zawierające dane dotyczące bezpieczeństwa pracy i ochrony zdrowia – w przypadku budowy, na której przewiduje się prowadzenie robót budowlanych trwających dłużej niż 30 dni roboczych i jednoczesne zatrudnienie co najmniej 20 pracowników lub przewidywany zakres robót budowlanych przekracza 500 osobodni.</w:t>
      </w:r>
    </w:p>
    <w:p w:rsidR="00C07549" w:rsidRDefault="00C07549" w:rsidP="00906F51">
      <w:pPr>
        <w:pStyle w:val="Akapitzlist"/>
        <w:numPr>
          <w:ilvl w:val="0"/>
          <w:numId w:val="21"/>
        </w:numPr>
        <w:pBdr>
          <w:top w:val="none" w:sz="0" w:space="0" w:color="auto"/>
          <w:left w:val="none" w:sz="0" w:space="0" w:color="auto"/>
          <w:bottom w:val="none" w:sz="0" w:space="0" w:color="auto"/>
          <w:right w:val="none" w:sz="0" w:space="0" w:color="auto"/>
        </w:pBdr>
        <w:autoSpaceDN w:val="0"/>
        <w:ind w:left="0"/>
        <w:jc w:val="both"/>
      </w:pPr>
      <w:r>
        <w:rPr>
          <w:szCs w:val="24"/>
        </w:rPr>
        <w:t xml:space="preserve">zgodnie z art. 46 ustawy – Prawo budowlane, kierownik budowy (rozbiórki), jest obowiązany przez okres wykonywania robót budowlanych przechowywać dokumenty stanowiące podstawę ich wykonania, a także oświadczenie dotyczące </w:t>
      </w:r>
      <w:r>
        <w:rPr>
          <w:i/>
          <w:iCs/>
          <w:szCs w:val="24"/>
        </w:rPr>
        <w:t>wyrobów budowlanych</w:t>
      </w:r>
      <w:r>
        <w:rPr>
          <w:szCs w:val="24"/>
        </w:rPr>
        <w:t xml:space="preserve"> jednostkowo zastosowanych w obiekcie budowlanym, o których mowa w art. 10 ust. 1 ustawy z dnia 16 kwietnia 2004 r. o </w:t>
      </w:r>
      <w:r>
        <w:rPr>
          <w:i/>
          <w:iCs/>
          <w:szCs w:val="24"/>
        </w:rPr>
        <w:t>wyrobach budowlanych</w:t>
      </w:r>
      <w:r>
        <w:rPr>
          <w:szCs w:val="24"/>
        </w:rPr>
        <w:t>, oraz udostępniać te dokumenty przedstawicielom uprawnionych organów.</w:t>
      </w:r>
    </w:p>
    <w:p w:rsidR="00C07549" w:rsidRDefault="00C07549" w:rsidP="00906F51">
      <w:pPr>
        <w:pStyle w:val="Standard"/>
        <w:numPr>
          <w:ilvl w:val="0"/>
          <w:numId w:val="21"/>
        </w:numPr>
        <w:ind w:left="0"/>
        <w:jc w:val="both"/>
      </w:pPr>
      <w:r>
        <w:t xml:space="preserve">roboty budowlane wykonywane w miejscach kolizji lub zbliżeń budowanego obiektu z podziemnym uzbrojeniem terenu należy wykonywać ręcznie i ze szczególną ostrożnością pod nadzorem inspektorów właściwych służb. </w:t>
      </w:r>
    </w:p>
    <w:p w:rsidR="00C07549" w:rsidRDefault="00C07549" w:rsidP="00C07549">
      <w:pPr>
        <w:pStyle w:val="Standard"/>
        <w:jc w:val="both"/>
      </w:pPr>
      <w:r>
        <w:t>Roboty należy realizować zgodnie z dokumentacją budowy, z zachowaniem warunków nałożonych przez uzyskane opinie, uzgodnienia i pozwolenia oraz w sposób zapewniający bezpieczeństwo ludzi i mienia, oraz ochronę środowiska,</w:t>
      </w:r>
    </w:p>
    <w:p w:rsidR="00C07549" w:rsidRDefault="00C07549" w:rsidP="00906F51">
      <w:pPr>
        <w:pStyle w:val="Akapitzlist"/>
        <w:widowControl/>
        <w:numPr>
          <w:ilvl w:val="0"/>
          <w:numId w:val="22"/>
        </w:numPr>
        <w:pBdr>
          <w:top w:val="none" w:sz="0" w:space="0" w:color="auto"/>
          <w:left w:val="none" w:sz="0" w:space="0" w:color="auto"/>
          <w:bottom w:val="none" w:sz="0" w:space="0" w:color="auto"/>
          <w:right w:val="none" w:sz="0" w:space="0" w:color="auto"/>
        </w:pBdr>
        <w:autoSpaceDN w:val="0"/>
        <w:ind w:left="0"/>
        <w:jc w:val="both"/>
        <w:textAlignment w:val="auto"/>
      </w:pPr>
      <w:r>
        <w:rPr>
          <w:rFonts w:ascii="Times New Roman" w:eastAsia="Times New Roman" w:hAnsi="Times New Roman" w:cs="Times New Roman"/>
          <w:kern w:val="0"/>
          <w:lang w:eastAsia="pl-PL" w:bidi="ar-SA"/>
        </w:rPr>
        <w:t xml:space="preserve">zgodnie z art.  75 ustawy z dnia 27 kwietnia 2001 r. Prawo ochrony środowiska, określam, że w trakcie prac budowlanych inwestor realizujący przedsięwzięcie jest obowiązany uwzględnić ochronę środowiska na obszarze prowadzenia prac, a w szczególności ochronę gleby, zieleni, naturalnego ukształtowania terenu i stosunków wodnych. Obowiązek właściwego zabezpieczenia elementów środowiska przyrodniczego, w tym gleby </w:t>
      </w:r>
      <w:r>
        <w:rPr>
          <w:rFonts w:ascii="Times New Roman" w:eastAsia="Times New Roman" w:hAnsi="Times New Roman" w:cs="Times New Roman"/>
          <w:kern w:val="0"/>
          <w:lang w:eastAsia="pl-PL" w:bidi="ar-SA"/>
        </w:rPr>
        <w:lastRenderedPageBreak/>
        <w:t>próchnicznej oraz istniejących drzew i krzewów, spoczywa na wykonawcy robót</w:t>
      </w:r>
      <w:r>
        <w:rPr>
          <w:rFonts w:ascii="Times New Roman" w:eastAsia="Times New Roman" w:hAnsi="Times New Roman" w:cs="Times New Roman"/>
          <w:color w:val="FF0000"/>
          <w:kern w:val="0"/>
          <w:lang w:eastAsia="pl-PL" w:bidi="ar-SA"/>
        </w:rPr>
        <w:t xml:space="preserve">. </w:t>
      </w:r>
      <w:r>
        <w:rPr>
          <w:rFonts w:ascii="Times New Roman" w:eastAsia="Times New Roman" w:hAnsi="Times New Roman" w:cs="Times New Roman"/>
          <w:kern w:val="0"/>
          <w:lang w:eastAsia="pl-PL" w:bidi="ar-SA"/>
        </w:rPr>
        <w:t xml:space="preserve">Jeżeli ochrona elementów przyrodniczych nie jest możliwa, należy podejmować działania mające na celu naprawienie wyrządzonych szkód, w szczególności przez kompensację przyrodniczą, którą rozumie się jako: zespół działań obejmujących w szczególności roboty budowlane, roboty ziemne, rekultywację gleby, zalesianie, zadrzewianie lub tworzenie skupień roślinności, prowadzących do przywrócenia równowagi przyrodniczej na danym terenie, wyrównania szkód dokonanych w środowisku przez realizację przedsięwzięcia i zachowanie walorów krajobrazowych. </w:t>
      </w:r>
    </w:p>
    <w:p w:rsidR="00C07549" w:rsidRDefault="00C07549" w:rsidP="00C07549">
      <w:pPr>
        <w:pStyle w:val="Akapitzlist"/>
        <w:widowControl/>
        <w:ind w:left="0"/>
        <w:jc w:val="both"/>
        <w:textAlignment w:val="auto"/>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Ponadto przypominam, że zgodnie z art. 75 ust. 2 ww. ustawy: „Przy prowadzeniu prac budowlanych dopuszcza się wykorzystywanie i przekształcanie elementów przyrodniczych wyłącznie w takim zakresie, w jakim jest to konieczne w związku z realizacją konkretnej inwestycji.”</w:t>
      </w:r>
    </w:p>
    <w:p w:rsidR="00B51560" w:rsidRDefault="00C07549" w:rsidP="00C07549">
      <w:pPr>
        <w:tabs>
          <w:tab w:val="left" w:pos="-16598"/>
        </w:tabs>
        <w:overflowPunct w:val="0"/>
        <w:autoSpaceDE w:val="0"/>
        <w:jc w:val="both"/>
        <w:rPr>
          <w:kern w:val="0"/>
          <w:lang w:eastAsia="pl-PL"/>
        </w:rPr>
      </w:pPr>
      <w:r w:rsidRPr="005C1DE9">
        <w:rPr>
          <w:kern w:val="0"/>
          <w:lang w:eastAsia="pl-PL"/>
        </w:rPr>
        <w:t xml:space="preserve">Przystępując do robót budowlanych należy pamiętać o przepisach chroniących prawa zwierząt, a w szczególności rozporządzenie Ministra  Środowiska z dnia 16 grudnia 2016 r. w sprawie ochrony gatunkowej zwierząt, które w § 6 ust. 1 zakazuje m.in. „niszczenia siedlisk lub ostoi, będących ich obszarem rozrodu, wychowu młodych, odpoczynku migracji lub żerowania.” </w:t>
      </w:r>
    </w:p>
    <w:p w:rsidR="00B51560" w:rsidRDefault="00B51560" w:rsidP="00C07549">
      <w:pPr>
        <w:tabs>
          <w:tab w:val="left" w:pos="-16598"/>
        </w:tabs>
        <w:overflowPunct w:val="0"/>
        <w:autoSpaceDE w:val="0"/>
        <w:jc w:val="both"/>
        <w:rPr>
          <w:kern w:val="0"/>
          <w:lang w:eastAsia="pl-PL"/>
        </w:rPr>
      </w:pPr>
    </w:p>
    <w:p w:rsidR="00B51560" w:rsidRPr="00936453" w:rsidRDefault="00B51560" w:rsidP="00B51560">
      <w:pPr>
        <w:tabs>
          <w:tab w:val="left" w:pos="-16598"/>
        </w:tabs>
        <w:overflowPunct w:val="0"/>
        <w:autoSpaceDE w:val="0"/>
        <w:jc w:val="both"/>
      </w:pPr>
      <w:r w:rsidRPr="00936453">
        <w:rPr>
          <w:kern w:val="0"/>
          <w:lang w:eastAsia="pl-PL"/>
        </w:rPr>
        <w:t>Zgodnie z art. 93 ust. 3 ustawy z dnia 3 października 2008 r. o udostępnianiu informacji o środowisku i jego ochronie, udziale społeczeństwa w ochronie środowiska oraz o ocenach oddziaływania na środowisko,</w:t>
      </w:r>
      <w:r w:rsidRPr="00936453">
        <w:t xml:space="preserve"> organ nie nakłada dodatkowych obowiązków, a jedynie przypomina o wykonaniu wszystkich obowiązków nałożonych decyzją o środowiskowych uwarunkowaniach, oraz o uwzględnieniu w projekcie technicznym projektu nasadzeń</w:t>
      </w:r>
      <w:r w:rsidR="00936453" w:rsidRPr="00936453">
        <w:t xml:space="preserve"> kompensacyjnych</w:t>
      </w:r>
      <w:r w:rsidRPr="00936453">
        <w:t>, o jakich mowa w analizie</w:t>
      </w:r>
      <w:r w:rsidR="00936453">
        <w:t xml:space="preserve"> </w:t>
      </w:r>
      <w:r w:rsidR="00936453" w:rsidRPr="00936453">
        <w:t>dot. wpływu inwestycji na istniejący drzewostan</w:t>
      </w:r>
      <w:r w:rsidR="00936453">
        <w:t>,</w:t>
      </w:r>
      <w:r w:rsidRPr="00936453">
        <w:t xml:space="preserve"> </w:t>
      </w:r>
      <w:r w:rsidR="00936453">
        <w:t xml:space="preserve">znajdującej się </w:t>
      </w:r>
      <w:r w:rsidRPr="00936453">
        <w:t xml:space="preserve">w pkt 2.15 </w:t>
      </w:r>
      <w:r w:rsidR="00936453">
        <w:t>projektu</w:t>
      </w:r>
      <w:r w:rsidR="00936453" w:rsidRPr="00936453">
        <w:t xml:space="preserve"> architektoniczno-</w:t>
      </w:r>
      <w:r w:rsidR="00936453">
        <w:t>budowlanego.</w:t>
      </w:r>
    </w:p>
    <w:p w:rsidR="00B51560" w:rsidRDefault="00B51560" w:rsidP="00C07549">
      <w:pPr>
        <w:tabs>
          <w:tab w:val="left" w:pos="-16598"/>
        </w:tabs>
        <w:overflowPunct w:val="0"/>
        <w:autoSpaceDE w:val="0"/>
        <w:jc w:val="both"/>
        <w:rPr>
          <w:kern w:val="0"/>
          <w:lang w:eastAsia="pl-PL"/>
        </w:rPr>
      </w:pPr>
    </w:p>
    <w:p w:rsidR="00C07549" w:rsidRDefault="00C07549" w:rsidP="00906F51">
      <w:pPr>
        <w:pStyle w:val="Akapitzlist"/>
        <w:widowControl/>
        <w:numPr>
          <w:ilvl w:val="0"/>
          <w:numId w:val="20"/>
        </w:numPr>
        <w:pBdr>
          <w:top w:val="none" w:sz="0" w:space="0" w:color="auto"/>
          <w:left w:val="none" w:sz="0" w:space="0" w:color="auto"/>
          <w:bottom w:val="none" w:sz="0" w:space="0" w:color="auto"/>
          <w:right w:val="none" w:sz="0" w:space="0" w:color="auto"/>
        </w:pBdr>
        <w:autoSpaceDN w:val="0"/>
        <w:ind w:left="284"/>
        <w:jc w:val="both"/>
        <w:textAlignment w:val="auto"/>
        <w:rPr>
          <w:rFonts w:ascii="Times New Roman" w:eastAsia="Times New Roman" w:hAnsi="Times New Roman" w:cs="Times New Roman"/>
          <w:kern w:val="0"/>
          <w:lang w:eastAsia="pl-PL" w:bidi="ar-SA"/>
        </w:rPr>
      </w:pPr>
      <w:r>
        <w:t>określam szczegółowe wymagania dotyczące nadzoru na budowie:</w:t>
      </w:r>
    </w:p>
    <w:p w:rsidR="00C07549" w:rsidRDefault="00C07549" w:rsidP="00906F51">
      <w:pPr>
        <w:pStyle w:val="Standard"/>
        <w:numPr>
          <w:ilvl w:val="0"/>
          <w:numId w:val="23"/>
        </w:numPr>
        <w:ind w:left="0"/>
        <w:jc w:val="both"/>
      </w:pPr>
      <w:r>
        <w:t>Inwestor jest obowiązany zapewnić objęcie kierownictwa budowy lub określonych robót budowlanych oraz nadzór nad robotami przez osobę posiadającą uprawnienia budowlane w odpowiedniej specjalności i spełniającą wymóg art. 12 ust. 7 ustawy Prawo budowlane, zgodnie z art. 42 ust. 1 ustawy – Prawo budowlane;</w:t>
      </w:r>
    </w:p>
    <w:p w:rsidR="00C07549" w:rsidRDefault="00C07549" w:rsidP="00906F51">
      <w:pPr>
        <w:pStyle w:val="Standard"/>
        <w:numPr>
          <w:ilvl w:val="0"/>
          <w:numId w:val="23"/>
        </w:numPr>
        <w:ind w:left="0" w:hanging="284"/>
        <w:jc w:val="both"/>
      </w:pPr>
      <w:r>
        <w:t>na podstawie § 2 ust. 1 pkt 1 rozporządzenia  Ministra Infrastruktury z dnia 19 listopada 2001 r., w sprawie rodzajów obiektów budowlanych, przy których realizacji jest wymagane ustanowienie inspektora nadzoru inwestorskiego (Dz. U. nr 138, poz. 1554), nakładam na inwestora obowiązek ustanowienia inspektora nadzoru inwestorskiego nad wykonawstwem robót w zakresie ustalonym w projekcie budowlanym, zatwierdzonym niniejsza decyzją, posiadającego uprawnienia budowlane w odpowiedniej  specjalności</w:t>
      </w:r>
      <w:r>
        <w:rPr>
          <w:color w:val="C00000"/>
        </w:rPr>
        <w:t xml:space="preserve">, </w:t>
      </w:r>
      <w:r>
        <w:t>zgodnie z art. 36 ust 1 pkt 4 w powiązaniu z art. 19 ust. 1 ustawy Prawo budowlane;</w:t>
      </w:r>
      <w:r>
        <w:rPr>
          <w:color w:val="70AD47"/>
        </w:rPr>
        <w:t xml:space="preserve"> </w:t>
      </w:r>
    </w:p>
    <w:p w:rsidR="00C07549" w:rsidRDefault="00C07549" w:rsidP="00906F51">
      <w:pPr>
        <w:pStyle w:val="Akapitzlist"/>
        <w:numPr>
          <w:ilvl w:val="0"/>
          <w:numId w:val="21"/>
        </w:numPr>
        <w:pBdr>
          <w:top w:val="none" w:sz="0" w:space="0" w:color="auto"/>
          <w:left w:val="none" w:sz="0" w:space="0" w:color="auto"/>
          <w:bottom w:val="none" w:sz="0" w:space="0" w:color="auto"/>
          <w:right w:val="none" w:sz="0" w:space="0" w:color="auto"/>
        </w:pBdr>
        <w:autoSpaceDN w:val="0"/>
        <w:ind w:left="0"/>
        <w:jc w:val="both"/>
      </w:pPr>
      <w:r>
        <w:t>zgodnie z art. 42 ust. 4 ustawy – Prawo budowlane, przy prowadzeniu robót budowlanych, do kierowania którymi jest wymagane przygotowanie zawodowe w specjalności techniczno-budowlanej innej niż posiada kierownik budowy, inwestor jest obowiązany zapewnić ustanowienie kierownika robót w danej specjalności.</w:t>
      </w:r>
    </w:p>
    <w:p w:rsidR="00C07549" w:rsidRDefault="00C07549" w:rsidP="00C07549">
      <w:pPr>
        <w:pStyle w:val="Standard"/>
        <w:jc w:val="both"/>
      </w:pPr>
      <w:r>
        <w:rPr>
          <w:b/>
        </w:rPr>
        <w:t>3)</w:t>
      </w:r>
      <w:r>
        <w:t xml:space="preserve"> informuję o obowiązkach i warunkach, wynikających:</w:t>
      </w:r>
    </w:p>
    <w:p w:rsidR="00C07549" w:rsidRDefault="00C07549" w:rsidP="00906F51">
      <w:pPr>
        <w:pStyle w:val="Standard"/>
        <w:numPr>
          <w:ilvl w:val="0"/>
          <w:numId w:val="24"/>
        </w:numPr>
        <w:jc w:val="both"/>
      </w:pPr>
      <w:r>
        <w:t>z art. 54 ustawy – Prawo budowlane, który stanowi</w:t>
      </w:r>
      <w:r>
        <w:rPr>
          <w:kern w:val="0"/>
          <w:lang w:eastAsia="pl-PL"/>
        </w:rPr>
        <w:t xml:space="preserve">, że:  </w:t>
      </w:r>
    </w:p>
    <w:p w:rsidR="00C07549" w:rsidRDefault="00C07549" w:rsidP="00C07549">
      <w:pPr>
        <w:suppressAutoHyphens w:val="0"/>
        <w:textAlignment w:val="auto"/>
        <w:rPr>
          <w:kern w:val="0"/>
          <w:lang w:eastAsia="pl-PL"/>
        </w:rPr>
      </w:pPr>
      <w:r>
        <w:rPr>
          <w:kern w:val="0"/>
          <w:lang w:eastAsia="pl-PL"/>
        </w:rPr>
        <w:t>„1.  Do użytkowania obiektu budowlanego, na budowę którego wymagana jest decyzja o pozwoleniu na budowę albo zgłoszenie budowy, o której mowa w art. 29 ust. 1 pkt 1 i 2, można przystąpić, z zastrzeżeniem art. 55 i art. 57, po zawiadomieniu organu nadzoru budowlanego o zakończeniu budowy, jeżeli organ ten, w terminie 14 dni od dnia doręczenia zawiadomienia, nie zgłosi sprzeciwu w drodze decyzji. Przepis art. 30 ust. 6a stosuje się.</w:t>
      </w:r>
    </w:p>
    <w:p w:rsidR="00C07549" w:rsidRDefault="00C07549" w:rsidP="00C07549">
      <w:pPr>
        <w:suppressAutoHyphens w:val="0"/>
        <w:textAlignment w:val="auto"/>
        <w:rPr>
          <w:kern w:val="0"/>
          <w:lang w:eastAsia="pl-PL"/>
        </w:rPr>
      </w:pPr>
      <w:r>
        <w:rPr>
          <w:kern w:val="0"/>
          <w:lang w:eastAsia="pl-PL"/>
        </w:rPr>
        <w:lastRenderedPageBreak/>
        <w:t xml:space="preserve">2.  Organ nadzoru budowlanego może z urzędu przed upływem terminu, o którym mowa w ust. 1, wydać zaświadczenie o braku podstaw do wniesienia sprzeciwu. Wydanie zaświadczenia wyłącza możliwość wniesienia sprzeciwu, o którym mowa w ust. 1, oraz uprawnia inwestora do rozpoczęcia użytkowania obiektu, o którym mowa w ust. 1.” </w:t>
      </w:r>
    </w:p>
    <w:p w:rsidR="00C07549" w:rsidRDefault="00C07549" w:rsidP="00906F51">
      <w:pPr>
        <w:pStyle w:val="Akapitzlist"/>
        <w:widowControl/>
        <w:numPr>
          <w:ilvl w:val="0"/>
          <w:numId w:val="24"/>
        </w:numPr>
        <w:pBdr>
          <w:top w:val="none" w:sz="0" w:space="0" w:color="auto"/>
          <w:left w:val="none" w:sz="0" w:space="0" w:color="auto"/>
          <w:bottom w:val="none" w:sz="0" w:space="0" w:color="auto"/>
          <w:right w:val="none" w:sz="0" w:space="0" w:color="auto"/>
        </w:pBdr>
        <w:suppressAutoHyphens w:val="0"/>
        <w:autoSpaceDN w:val="0"/>
        <w:textAlignment w:val="auto"/>
      </w:pPr>
      <w:r>
        <w:rPr>
          <w:rFonts w:ascii="Times New Roman" w:eastAsia="Times New Roman" w:hAnsi="Times New Roman" w:cs="Times New Roman"/>
          <w:kern w:val="0"/>
          <w:lang w:eastAsia="pl-PL" w:bidi="ar-SA"/>
        </w:rPr>
        <w:t xml:space="preserve">lub wynikające z art.  55 </w:t>
      </w:r>
      <w:r>
        <w:t>ustawy – Prawo budowlane, który stanowi</w:t>
      </w:r>
      <w:r>
        <w:rPr>
          <w:kern w:val="0"/>
          <w:lang w:eastAsia="pl-PL"/>
        </w:rPr>
        <w:t>, że: </w:t>
      </w:r>
    </w:p>
    <w:p w:rsidR="00C07549" w:rsidRDefault="00C07549" w:rsidP="00C07549">
      <w:pPr>
        <w:pStyle w:val="Normalny1"/>
        <w:widowControl/>
        <w:suppressAutoHyphens w:val="0"/>
        <w:jc w:val="both"/>
        <w:textAlignment w:val="auto"/>
      </w:pPr>
      <w:r>
        <w:rPr>
          <w:rFonts w:ascii="Times New Roman" w:eastAsia="Times New Roman" w:hAnsi="Times New Roman" w:cs="Times New Roman"/>
          <w:kern w:val="0"/>
          <w:lang w:eastAsia="pl-PL" w:bidi="ar-SA"/>
        </w:rPr>
        <w:t>„1.  Do użytkowania obiektu budowlanego, na budowę którego wymagana jest decyzja o pozwoleniu na budowę albo zgłoszenie budowy, o której mowa w art. 29 ust. 1 pkt 1 i 2, można przystąpić, z zastrzeżeniem art. 55 i art. 57, po zawiadomieniu organu nadzoru budowlanego o zakończeniu budowy, jeżeli organ ten, w terminie 14 dni od dnia doręczenia zawiadomienia, nie zgłosi sprzeciwu w drodze decyzji. Przepis art. 30 ust. 6a stosuje się.</w:t>
      </w:r>
    </w:p>
    <w:p w:rsidR="00C07549" w:rsidRDefault="00C07549" w:rsidP="00C07549">
      <w:pPr>
        <w:pStyle w:val="Normalny1"/>
        <w:widowControl/>
        <w:suppressAutoHyphens w:val="0"/>
        <w:jc w:val="both"/>
        <w:textAlignment w:val="auto"/>
      </w:pPr>
      <w:r>
        <w:rPr>
          <w:rFonts w:ascii="Times New Roman" w:eastAsia="Times New Roman" w:hAnsi="Times New Roman" w:cs="Times New Roman"/>
          <w:kern w:val="0"/>
          <w:lang w:eastAsia="pl-PL" w:bidi="ar-SA"/>
        </w:rPr>
        <w:t xml:space="preserve">2.  Organ nadzoru budowlanego może z urzędu przed upływem terminu, o którym mowa w ust. 1, wydać zaświadczenie o braku podstaw do wniesienia sprzeciwu. Wydanie zaświadczenia wyłącza możliwość wniesienia sprzeciwu, o którym mowa w ust. 1, oraz uprawnia inwestora do rozpoczęcia użytkowania obiektu, o którym mowa w ust. 1.” </w:t>
      </w:r>
    </w:p>
    <w:p w:rsidR="00C07549" w:rsidRDefault="00C07549" w:rsidP="00906F51">
      <w:pPr>
        <w:pStyle w:val="Akapitzlist"/>
        <w:widowControl/>
        <w:numPr>
          <w:ilvl w:val="0"/>
          <w:numId w:val="2"/>
        </w:numPr>
        <w:suppressAutoHyphens w:val="0"/>
        <w:jc w:val="both"/>
        <w:textAlignment w:val="auto"/>
      </w:pPr>
      <w:r>
        <w:rPr>
          <w:rStyle w:val="Domylnaczcionkaakapitu2"/>
          <w:rFonts w:ascii="Times New Roman" w:eastAsia="Times New Roman" w:hAnsi="Times New Roman" w:cs="Times New Roman"/>
          <w:kern w:val="0"/>
          <w:szCs w:val="24"/>
          <w:lang w:eastAsia="pl-PL" w:bidi="ar-SA"/>
        </w:rPr>
        <w:t xml:space="preserve">lub wynikające z art.  55 </w:t>
      </w:r>
      <w:r>
        <w:rPr>
          <w:rFonts w:ascii="Times New Roman" w:hAnsi="Times New Roman"/>
          <w:szCs w:val="24"/>
        </w:rPr>
        <w:t>ustawy – Prawo budowlane, który stanowi</w:t>
      </w:r>
      <w:r>
        <w:rPr>
          <w:rStyle w:val="Domylnaczcionkaakapitu2"/>
          <w:rFonts w:ascii="Times New Roman" w:hAnsi="Times New Roman"/>
          <w:kern w:val="0"/>
          <w:szCs w:val="24"/>
          <w:lang w:eastAsia="pl-PL"/>
        </w:rPr>
        <w:t>, że: </w:t>
      </w:r>
    </w:p>
    <w:p w:rsidR="00C07549" w:rsidRDefault="00C07549" w:rsidP="00C07549">
      <w:pPr>
        <w:pStyle w:val="Normalny1"/>
        <w:widowControl/>
        <w:suppressAutoHyphens w:val="0"/>
        <w:jc w:val="both"/>
        <w:textAlignment w:val="auto"/>
      </w:pPr>
      <w:r>
        <w:rPr>
          <w:rFonts w:ascii="Times New Roman" w:eastAsia="Times New Roman" w:hAnsi="Times New Roman" w:cs="Times New Roman"/>
          <w:kern w:val="0"/>
          <w:lang w:eastAsia="pl-PL" w:bidi="ar-SA"/>
        </w:rPr>
        <w:t>„1.  Przed przystąpieniem do użytkowania obiektu budowlanego należy uzyskać decyzję o pozwoleniu na użytkowanie, jeżeli:</w:t>
      </w:r>
    </w:p>
    <w:p w:rsidR="00C07549" w:rsidRDefault="00C07549" w:rsidP="00C07549">
      <w:pPr>
        <w:pStyle w:val="Normalny1"/>
        <w:widowControl/>
        <w:suppressAutoHyphens w:val="0"/>
        <w:jc w:val="both"/>
        <w:textAlignment w:val="auto"/>
      </w:pPr>
      <w:r>
        <w:rPr>
          <w:rFonts w:ascii="Times New Roman" w:eastAsia="Times New Roman" w:hAnsi="Times New Roman" w:cs="Times New Roman"/>
          <w:kern w:val="0"/>
          <w:lang w:eastAsia="pl-PL" w:bidi="ar-SA"/>
        </w:rPr>
        <w:t>1) na budowę obiektu budowlanego jest wymagane pozwolenie na budowę i jest on zaliczony do kategorii:</w:t>
      </w:r>
    </w:p>
    <w:p w:rsidR="00C07549" w:rsidRDefault="00C07549" w:rsidP="00C07549">
      <w:pPr>
        <w:pStyle w:val="Normalny1"/>
        <w:widowControl/>
        <w:suppressAutoHyphens w:val="0"/>
        <w:jc w:val="both"/>
        <w:textAlignment w:val="auto"/>
      </w:pPr>
      <w:r>
        <w:rPr>
          <w:rFonts w:ascii="Times New Roman" w:eastAsia="Times New Roman" w:hAnsi="Times New Roman" w:cs="Times New Roman"/>
          <w:kern w:val="0"/>
          <w:lang w:eastAsia="pl-PL" w:bidi="ar-SA"/>
        </w:rPr>
        <w:t>a) V, IX-XVI,</w:t>
      </w:r>
    </w:p>
    <w:p w:rsidR="00C07549" w:rsidRDefault="00C07549" w:rsidP="00C07549">
      <w:pPr>
        <w:pStyle w:val="Normalny1"/>
        <w:widowControl/>
        <w:suppressAutoHyphens w:val="0"/>
        <w:jc w:val="both"/>
        <w:textAlignment w:val="auto"/>
      </w:pPr>
      <w:r>
        <w:rPr>
          <w:rFonts w:ascii="Times New Roman" w:eastAsia="Times New Roman" w:hAnsi="Times New Roman" w:cs="Times New Roman"/>
          <w:kern w:val="0"/>
          <w:lang w:eastAsia="pl-PL" w:bidi="ar-SA"/>
        </w:rPr>
        <w:t>b) XVII - z wyjątkiem warsztatów rzemieślniczych, stacji obsługi pojazdów, myjni samochodowych i garaży do pięciu stanowisk włącznie,</w:t>
      </w:r>
    </w:p>
    <w:p w:rsidR="00C07549" w:rsidRDefault="00C07549" w:rsidP="00C07549">
      <w:pPr>
        <w:pStyle w:val="Normalny1"/>
        <w:widowControl/>
        <w:suppressAutoHyphens w:val="0"/>
        <w:jc w:val="both"/>
        <w:textAlignment w:val="auto"/>
      </w:pPr>
      <w:r>
        <w:rPr>
          <w:rFonts w:ascii="Times New Roman" w:eastAsia="Times New Roman" w:hAnsi="Times New Roman" w:cs="Times New Roman"/>
          <w:kern w:val="0"/>
          <w:lang w:eastAsia="pl-PL" w:bidi="ar-SA"/>
        </w:rPr>
        <w:t>c) XVIII - z wyjątkiem obiektów magazynowych: budynki składowe, chłodnie, hangary i wiaty, a także budynków kolejowych: nastawnie, podstacje trakcyjne, lokomotywownie, wagonownie, strażnice przejazdowe i myjnie taboru kolejowego,</w:t>
      </w:r>
    </w:p>
    <w:p w:rsidR="00C07549" w:rsidRDefault="00C07549" w:rsidP="00C07549">
      <w:pPr>
        <w:pStyle w:val="Normalny1"/>
        <w:widowControl/>
        <w:suppressAutoHyphens w:val="0"/>
        <w:jc w:val="both"/>
        <w:textAlignment w:val="auto"/>
      </w:pPr>
      <w:r>
        <w:rPr>
          <w:rFonts w:ascii="Times New Roman" w:eastAsia="Times New Roman" w:hAnsi="Times New Roman" w:cs="Times New Roman"/>
          <w:kern w:val="0"/>
          <w:lang w:eastAsia="pl-PL" w:bidi="ar-SA"/>
        </w:rPr>
        <w:t>d) XX,</w:t>
      </w:r>
    </w:p>
    <w:p w:rsidR="00C07549" w:rsidRDefault="00C07549" w:rsidP="00C07549">
      <w:pPr>
        <w:pStyle w:val="Normalny1"/>
        <w:widowControl/>
        <w:suppressAutoHyphens w:val="0"/>
        <w:jc w:val="both"/>
        <w:textAlignment w:val="auto"/>
      </w:pPr>
      <w:r>
        <w:rPr>
          <w:rFonts w:ascii="Times New Roman" w:eastAsia="Times New Roman" w:hAnsi="Times New Roman" w:cs="Times New Roman"/>
          <w:kern w:val="0"/>
          <w:lang w:eastAsia="pl-PL" w:bidi="ar-SA"/>
        </w:rPr>
        <w:t>e) XXII - z wyjątkiem placów składowych, postojowych i parkingów,</w:t>
      </w:r>
    </w:p>
    <w:p w:rsidR="00C07549" w:rsidRDefault="00C07549" w:rsidP="00C07549">
      <w:pPr>
        <w:pStyle w:val="Normalny1"/>
        <w:widowControl/>
        <w:suppressAutoHyphens w:val="0"/>
        <w:jc w:val="both"/>
        <w:textAlignment w:val="auto"/>
      </w:pPr>
      <w:r>
        <w:rPr>
          <w:rFonts w:ascii="Times New Roman" w:eastAsia="Times New Roman" w:hAnsi="Times New Roman" w:cs="Times New Roman"/>
          <w:kern w:val="0"/>
          <w:lang w:eastAsia="pl-PL" w:bidi="ar-SA"/>
        </w:rPr>
        <w:t>f) XXIV - z wyjątkiem stawów rybnych,</w:t>
      </w:r>
    </w:p>
    <w:p w:rsidR="00C07549" w:rsidRDefault="00C07549" w:rsidP="00C07549">
      <w:pPr>
        <w:pStyle w:val="Normalny1"/>
        <w:widowControl/>
        <w:suppressAutoHyphens w:val="0"/>
        <w:jc w:val="both"/>
        <w:textAlignment w:val="auto"/>
      </w:pPr>
      <w:r>
        <w:rPr>
          <w:rFonts w:ascii="Times New Roman" w:eastAsia="Times New Roman" w:hAnsi="Times New Roman" w:cs="Times New Roman"/>
          <w:kern w:val="0"/>
          <w:lang w:eastAsia="pl-PL" w:bidi="ar-SA"/>
        </w:rPr>
        <w:t>g) XXVII - z wyjątkiem jazów, wałów przeciwpowodziowych, opasek i ostróg brzegowych oraz rowów melioracyjnych,</w:t>
      </w:r>
    </w:p>
    <w:p w:rsidR="00C07549" w:rsidRDefault="00C07549" w:rsidP="00C07549">
      <w:pPr>
        <w:pStyle w:val="Normalny1"/>
        <w:widowControl/>
        <w:suppressAutoHyphens w:val="0"/>
        <w:jc w:val="both"/>
        <w:textAlignment w:val="auto"/>
      </w:pPr>
      <w:r>
        <w:rPr>
          <w:rFonts w:ascii="Times New Roman" w:eastAsia="Times New Roman" w:hAnsi="Times New Roman" w:cs="Times New Roman"/>
          <w:kern w:val="0"/>
          <w:lang w:eastAsia="pl-PL" w:bidi="ar-SA"/>
        </w:rPr>
        <w:t>h) XXVIII-XXX</w:t>
      </w:r>
    </w:p>
    <w:p w:rsidR="00C07549" w:rsidRDefault="00C07549" w:rsidP="00C07549">
      <w:pPr>
        <w:pStyle w:val="Normalny1"/>
        <w:widowControl/>
        <w:suppressAutoHyphens w:val="0"/>
        <w:jc w:val="both"/>
        <w:textAlignment w:val="auto"/>
      </w:pPr>
      <w:r>
        <w:rPr>
          <w:rFonts w:ascii="Times New Roman" w:eastAsia="Times New Roman" w:hAnsi="Times New Roman" w:cs="Times New Roman"/>
          <w:kern w:val="0"/>
          <w:lang w:eastAsia="pl-PL" w:bidi="ar-SA"/>
        </w:rPr>
        <w:t>- o których mowa w załączniku do ustawy;</w:t>
      </w:r>
    </w:p>
    <w:p w:rsidR="00C07549" w:rsidRDefault="00C07549" w:rsidP="00C07549">
      <w:pPr>
        <w:pStyle w:val="Normalny1"/>
        <w:widowControl/>
        <w:suppressAutoHyphens w:val="0"/>
        <w:jc w:val="both"/>
        <w:textAlignment w:val="auto"/>
      </w:pPr>
      <w:r>
        <w:rPr>
          <w:rFonts w:ascii="Times New Roman" w:eastAsia="Times New Roman" w:hAnsi="Times New Roman" w:cs="Times New Roman"/>
          <w:kern w:val="0"/>
          <w:lang w:eastAsia="pl-PL" w:bidi="ar-SA"/>
        </w:rPr>
        <w:t>2) zachodzą okoliczności, o których mowa w art. 49 ust. 5 albo art. 51 ust. 4;</w:t>
      </w:r>
    </w:p>
    <w:p w:rsidR="00C07549" w:rsidRDefault="00C07549" w:rsidP="00C07549">
      <w:pPr>
        <w:pStyle w:val="Normalny1"/>
        <w:widowControl/>
        <w:suppressAutoHyphens w:val="0"/>
        <w:jc w:val="both"/>
        <w:textAlignment w:val="auto"/>
      </w:pPr>
      <w:r>
        <w:rPr>
          <w:rFonts w:ascii="Times New Roman" w:eastAsia="Times New Roman" w:hAnsi="Times New Roman" w:cs="Times New Roman"/>
          <w:kern w:val="0"/>
          <w:lang w:eastAsia="pl-PL" w:bidi="ar-SA"/>
        </w:rPr>
        <w:t>3) przystąpienie do użytkowania obiektu budowlanego ma nastąpić przed wykonaniem wszystkich robót budowlanych.</w:t>
      </w:r>
    </w:p>
    <w:p w:rsidR="00C07549" w:rsidRDefault="00C07549" w:rsidP="00C07549">
      <w:pPr>
        <w:pStyle w:val="Normalny1"/>
        <w:widowControl/>
        <w:suppressAutoHyphens w:val="0"/>
        <w:jc w:val="both"/>
        <w:textAlignment w:val="auto"/>
      </w:pPr>
      <w:r>
        <w:rPr>
          <w:rFonts w:ascii="Times New Roman" w:eastAsia="Times New Roman" w:hAnsi="Times New Roman" w:cs="Times New Roman"/>
          <w:kern w:val="0"/>
          <w:lang w:eastAsia="pl-PL" w:bidi="ar-SA"/>
        </w:rPr>
        <w:t>1a. Decyzja, o której mowa w ust. 1 pkt 3, może obejmować:</w:t>
      </w:r>
    </w:p>
    <w:p w:rsidR="00C07549" w:rsidRDefault="00C07549" w:rsidP="00C07549">
      <w:pPr>
        <w:pStyle w:val="Normalny1"/>
        <w:widowControl/>
        <w:suppressAutoHyphens w:val="0"/>
        <w:jc w:val="both"/>
        <w:textAlignment w:val="auto"/>
      </w:pPr>
      <w:r>
        <w:rPr>
          <w:rFonts w:ascii="Times New Roman" w:eastAsia="Times New Roman" w:hAnsi="Times New Roman" w:cs="Times New Roman"/>
          <w:kern w:val="0"/>
          <w:lang w:eastAsia="pl-PL" w:bidi="ar-SA"/>
        </w:rPr>
        <w:t>1) obiekt budowlany lub jego część;</w:t>
      </w:r>
    </w:p>
    <w:p w:rsidR="00C07549" w:rsidRDefault="00C07549" w:rsidP="00C07549">
      <w:pPr>
        <w:pStyle w:val="Normalny1"/>
        <w:widowControl/>
        <w:suppressAutoHyphens w:val="0"/>
        <w:jc w:val="both"/>
        <w:textAlignment w:val="auto"/>
      </w:pPr>
      <w:r>
        <w:rPr>
          <w:rFonts w:ascii="Times New Roman" w:eastAsia="Times New Roman" w:hAnsi="Times New Roman" w:cs="Times New Roman"/>
          <w:kern w:val="0"/>
          <w:lang w:eastAsia="pl-PL" w:bidi="ar-SA"/>
        </w:rPr>
        <w:t>2) niektóre z obiektów budowlanych objętych jedną decyzją o pozwoleniu na budowę lub zgłoszeniem budowy, o którym mowa w art. 29 ust. 1 pkt 1 i 2.</w:t>
      </w:r>
    </w:p>
    <w:p w:rsidR="00C07549" w:rsidRDefault="00C07549" w:rsidP="00C07549">
      <w:pPr>
        <w:pStyle w:val="Normalny1"/>
        <w:widowControl/>
        <w:suppressAutoHyphens w:val="0"/>
        <w:jc w:val="both"/>
        <w:textAlignment w:val="auto"/>
      </w:pPr>
      <w:r>
        <w:rPr>
          <w:rFonts w:ascii="Times New Roman" w:eastAsia="Times New Roman" w:hAnsi="Times New Roman" w:cs="Times New Roman"/>
          <w:kern w:val="0"/>
          <w:lang w:eastAsia="pl-PL" w:bidi="ar-SA"/>
        </w:rPr>
        <w:t>1b.Decyzja, o której mowa w ust. 1 pkt 3, może być wydana, jeżeli oddawane do użytkowania obiekty budowlane lub ich części mogą samodzielnie funkcjonować zgodnie z przeznaczeniem.</w:t>
      </w:r>
    </w:p>
    <w:p w:rsidR="00C07549" w:rsidRDefault="00C07549" w:rsidP="00C07549">
      <w:pPr>
        <w:pStyle w:val="Normalny1"/>
        <w:widowControl/>
        <w:suppressAutoHyphens w:val="0"/>
        <w:jc w:val="both"/>
        <w:textAlignment w:val="auto"/>
      </w:pPr>
      <w:r>
        <w:rPr>
          <w:rFonts w:ascii="Times New Roman" w:eastAsia="Times New Roman" w:hAnsi="Times New Roman" w:cs="Times New Roman"/>
          <w:kern w:val="0"/>
          <w:lang w:eastAsia="pl-PL" w:bidi="ar-SA"/>
        </w:rPr>
        <w:t>2.  Inwestor zamiast dokonania zawiadomienia o zakończeniu budowy może wystąpić z wnioskiem o wydanie decyzji o pozwoleniu na użytkowanie.”</w:t>
      </w:r>
    </w:p>
    <w:p w:rsidR="00C07549" w:rsidRDefault="00C07549" w:rsidP="00C07549">
      <w:pPr>
        <w:jc w:val="both"/>
        <w:rPr>
          <w:b/>
        </w:rPr>
      </w:pPr>
    </w:p>
    <w:p w:rsidR="00C07549" w:rsidRPr="005C1DE9" w:rsidRDefault="00C07549" w:rsidP="00C07549">
      <w:pPr>
        <w:ind w:firstLine="709"/>
        <w:jc w:val="both"/>
      </w:pPr>
      <w:r w:rsidRPr="005C1DE9">
        <w:rPr>
          <w:b/>
        </w:rPr>
        <w:t>Ponadto przypominam, o konieczności zachowania warunków wynikających z innych przepisów, w tym m.in.:</w:t>
      </w:r>
    </w:p>
    <w:p w:rsidR="00C07549" w:rsidRPr="005C1DE9" w:rsidRDefault="00C07549" w:rsidP="00906F51">
      <w:pPr>
        <w:numPr>
          <w:ilvl w:val="0"/>
          <w:numId w:val="3"/>
        </w:numPr>
        <w:tabs>
          <w:tab w:val="left" w:pos="-588"/>
        </w:tabs>
        <w:overflowPunct w:val="0"/>
        <w:autoSpaceDE w:val="0"/>
        <w:ind w:left="57" w:hanging="57"/>
        <w:jc w:val="both"/>
      </w:pPr>
      <w:r w:rsidRPr="005C1DE9">
        <w:t>roboty budowlane można rozpocząć jedynie na  podstawie decyzji o pozwoleniu na budowę, z zastrzeżeniem art. 29-31, zgodnie z art. 28 ust. 1 ustawy - Prawo budowlane;</w:t>
      </w:r>
    </w:p>
    <w:p w:rsidR="00C07549" w:rsidRPr="005C1DE9" w:rsidRDefault="00C07549" w:rsidP="00906F51">
      <w:pPr>
        <w:numPr>
          <w:ilvl w:val="0"/>
          <w:numId w:val="3"/>
        </w:numPr>
        <w:tabs>
          <w:tab w:val="left" w:pos="-20028"/>
        </w:tabs>
        <w:overflowPunct w:val="0"/>
        <w:autoSpaceDE w:val="0"/>
        <w:ind w:left="57" w:firstLine="0"/>
        <w:jc w:val="both"/>
      </w:pPr>
      <w:r w:rsidRPr="005C1DE9">
        <w:lastRenderedPageBreak/>
        <w:t>decyzja o pozwoleniu na budowę wygasa, jeżeli budowa nie zostanie rozpoczęta przed upływem 3 lat od dnia, w którym ta stanie się ostateczną, lub budowa zostanie przerwana na okres dłuższy niż 3 lata, zgodnie z art. 37 ust. 1 ustawy - Prawo budowlane,</w:t>
      </w:r>
    </w:p>
    <w:p w:rsidR="00C07549" w:rsidRPr="005C1DE9" w:rsidRDefault="00C07549" w:rsidP="00906F51">
      <w:pPr>
        <w:numPr>
          <w:ilvl w:val="0"/>
          <w:numId w:val="3"/>
        </w:numPr>
        <w:tabs>
          <w:tab w:val="left" w:pos="-20028"/>
        </w:tabs>
        <w:overflowPunct w:val="0"/>
        <w:autoSpaceDE w:val="0"/>
        <w:ind w:left="57" w:firstLine="0"/>
        <w:jc w:val="both"/>
      </w:pPr>
      <w:r w:rsidRPr="005C1DE9">
        <w:t>w razie konieczności inwestor jest zobowiązany uzyskać, zgodnie z art. 83a ust. 1 ustawy z dnia 16 kwietnia 2004 r. o ochronie przyrody (t.j. Dz.U. z 2022 r. poz. 916 ze zm.) „Zezwolenie na usunięcie drzewa lub krzewu z terenu nieruchomości (…)”, które „wydaje wójt, burmistrz albo prezydent miasta, a w przypadku gdy zezwolenie dotyczy usunięcia drzewa lub krzewu z terenu nieruchomości lub jej części wpisanej do rejestru zabytków - wojewódzki konserwator zabytków.”</w:t>
      </w:r>
    </w:p>
    <w:p w:rsidR="00C07549" w:rsidRPr="005C1DE9" w:rsidRDefault="00C07549" w:rsidP="00906F51">
      <w:pPr>
        <w:widowControl w:val="0"/>
        <w:numPr>
          <w:ilvl w:val="0"/>
          <w:numId w:val="3"/>
        </w:numPr>
        <w:ind w:left="0" w:firstLine="0"/>
        <w:jc w:val="both"/>
        <w:rPr>
          <w:szCs w:val="21"/>
        </w:rPr>
      </w:pPr>
      <w:r w:rsidRPr="005C1DE9">
        <w:t>jeżeli do wykonania robót budowlanych zgodnie z niniejszą decyzją jest niezbędne wejście do sąsiedniego budynku, lokalu lub na teren sąsiedniej nieruchomości, inwestor jest obowiązany przed rozpoczęciem robót uzyskać zgodę właściciela sąsiedniej nieruchomości, budynku lub lokalu oraz ew. najemcy lub użytkownika, na wejście oraz uzgodnić z nim przewidywany sposób, zakres i terminy korzystania z tych obiektów, a także ewentualną rekompensatę z tego tytułu;</w:t>
      </w:r>
    </w:p>
    <w:p w:rsidR="00C07549" w:rsidRPr="005C1DE9" w:rsidRDefault="00C07549" w:rsidP="00906F51">
      <w:pPr>
        <w:widowControl w:val="0"/>
        <w:numPr>
          <w:ilvl w:val="0"/>
          <w:numId w:val="3"/>
        </w:numPr>
        <w:ind w:left="0" w:firstLine="0"/>
        <w:jc w:val="both"/>
        <w:rPr>
          <w:szCs w:val="21"/>
        </w:rPr>
      </w:pPr>
      <w:r w:rsidRPr="005C1DE9">
        <w:t>po zakończeniu budowy doprowadzić do należytego stanu i porządku teren nieruchomości, a w razie korzystania w trakcie budowy, także drogę, ulicę, sąsiednią nieruchomość, budynek lub lokal;</w:t>
      </w:r>
    </w:p>
    <w:p w:rsidR="00C07549" w:rsidRPr="005C1DE9" w:rsidRDefault="00C07549" w:rsidP="00906F51">
      <w:pPr>
        <w:widowControl w:val="0"/>
        <w:numPr>
          <w:ilvl w:val="0"/>
          <w:numId w:val="3"/>
        </w:numPr>
        <w:ind w:left="0" w:firstLine="0"/>
        <w:jc w:val="both"/>
        <w:rPr>
          <w:szCs w:val="21"/>
        </w:rPr>
      </w:pPr>
      <w:r w:rsidRPr="005C1DE9">
        <w:t>odpowiedzialność cywilno-prawna w związku z ewentualnymi szkodami wyrządzonymi w trakcie wykonywanych robót budowlanych oraz z tytułu odpowiedzialności za wejście na teren działek sąsiednich spoczywa w całości na inwestorze;</w:t>
      </w:r>
    </w:p>
    <w:p w:rsidR="00C07549" w:rsidRPr="005C1DE9" w:rsidRDefault="00C07549" w:rsidP="00906F51">
      <w:pPr>
        <w:numPr>
          <w:ilvl w:val="0"/>
          <w:numId w:val="3"/>
        </w:numPr>
        <w:tabs>
          <w:tab w:val="left" w:pos="-20028"/>
        </w:tabs>
        <w:overflowPunct w:val="0"/>
        <w:autoSpaceDE w:val="0"/>
        <w:ind w:left="57" w:firstLine="0"/>
        <w:jc w:val="both"/>
      </w:pPr>
      <w:r w:rsidRPr="005C1DE9">
        <w:t>zatwierdzenie projektu zagospodarowania terenu i projektu architektoniczno-budowlanego dla niniejszej inwestycji nie zwalnia projektantów oraz projektantów sprawdzających z odpowiedzialności cywilnej i zawodowej za zgodność inwestycji z przepisami;</w:t>
      </w:r>
    </w:p>
    <w:p w:rsidR="00C07549" w:rsidRPr="005C1DE9" w:rsidRDefault="00C07549" w:rsidP="00906F51">
      <w:pPr>
        <w:numPr>
          <w:ilvl w:val="0"/>
          <w:numId w:val="3"/>
        </w:numPr>
        <w:tabs>
          <w:tab w:val="left" w:pos="-20028"/>
        </w:tabs>
        <w:overflowPunct w:val="0"/>
        <w:autoSpaceDE w:val="0"/>
        <w:ind w:left="57" w:firstLine="0"/>
        <w:jc w:val="both"/>
      </w:pPr>
      <w:r w:rsidRPr="005C1DE9">
        <w:t>organ przypomina o obowiązku gospodarowania odpadami zgodnie z przepisami, w tym ustawą z dnia 14 grudnia 2012 r. o odpadach (tj. Dz.U. z 2022 r., poz. 699 ze zm.).</w:t>
      </w:r>
    </w:p>
    <w:p w:rsidR="00C07549" w:rsidRPr="005C1DE9" w:rsidRDefault="00C07549" w:rsidP="00C07549">
      <w:pPr>
        <w:ind w:firstLine="709"/>
        <w:jc w:val="both"/>
        <w:rPr>
          <w:b/>
        </w:rPr>
      </w:pPr>
    </w:p>
    <w:p w:rsidR="00C07549" w:rsidRDefault="00C07549" w:rsidP="00C07549">
      <w:pPr>
        <w:pStyle w:val="Standard"/>
        <w:ind w:firstLine="709"/>
        <w:rPr>
          <w:b/>
        </w:rPr>
      </w:pPr>
      <w:r>
        <w:rPr>
          <w:b/>
        </w:rPr>
        <w:t xml:space="preserve">Otrzymanie ostatecznej decyzji pozwolenia na budowę nie zwalnia uczestników procesu budowlanego od obowiązków wynikających z innych przepisów. </w:t>
      </w:r>
    </w:p>
    <w:p w:rsidR="00C07549" w:rsidRDefault="00C07549" w:rsidP="00C07549">
      <w:pPr>
        <w:pStyle w:val="Standard"/>
        <w:ind w:left="360"/>
        <w:rPr>
          <w:b/>
        </w:rPr>
      </w:pPr>
    </w:p>
    <w:p w:rsidR="00576BD2" w:rsidRDefault="00576BD2">
      <w:pPr>
        <w:ind w:left="360"/>
        <w:rPr>
          <w:b/>
        </w:rPr>
      </w:pPr>
    </w:p>
    <w:p w:rsidR="00576BD2" w:rsidRPr="0089326F" w:rsidRDefault="00576BD2">
      <w:pPr>
        <w:jc w:val="center"/>
      </w:pPr>
      <w:r w:rsidRPr="0089326F">
        <w:rPr>
          <w:b/>
        </w:rPr>
        <w:t>UZASADNIENIE</w:t>
      </w:r>
    </w:p>
    <w:p w:rsidR="00376A89" w:rsidRDefault="00376A89" w:rsidP="00376A89">
      <w:pPr>
        <w:pStyle w:val="Standard"/>
        <w:ind w:firstLine="708"/>
        <w:jc w:val="both"/>
      </w:pPr>
      <w:r>
        <w:t xml:space="preserve">Dnia </w:t>
      </w:r>
      <w:r w:rsidR="003A363C">
        <w:t xml:space="preserve">23 marca </w:t>
      </w:r>
      <w:r w:rsidR="001C2580">
        <w:t xml:space="preserve">2022 r. </w:t>
      </w:r>
      <w:r>
        <w:t>wpłynął wniosek i</w:t>
      </w:r>
      <w:r w:rsidR="003F70FB">
        <w:t xml:space="preserve">nwestora o pozwolenie na budowę, który </w:t>
      </w:r>
      <w:r w:rsidR="003A363C">
        <w:t xml:space="preserve">po uprzednim wezwaniu został uzupełniony w dniu 22 kwietnia </w:t>
      </w:r>
      <w:r w:rsidR="003F70FB">
        <w:t xml:space="preserve"> 2022 r.</w:t>
      </w:r>
    </w:p>
    <w:p w:rsidR="00824066" w:rsidRPr="0089326F" w:rsidRDefault="00576BD2" w:rsidP="00824066">
      <w:pPr>
        <w:jc w:val="both"/>
      </w:pPr>
      <w:r w:rsidRPr="0089326F">
        <w:tab/>
      </w:r>
      <w:r w:rsidR="00824066" w:rsidRPr="0089326F">
        <w:t>Na wstępie organ dokonał sprawdzenia kompletności wniosku pod względem formalnoprawnym. Inwestor do wniosku o pozwolenie na budowę dołączył:</w:t>
      </w:r>
    </w:p>
    <w:p w:rsidR="00824066" w:rsidRPr="00266C98" w:rsidRDefault="00824066" w:rsidP="00906F51">
      <w:pPr>
        <w:pStyle w:val="Akapitzlist"/>
        <w:numPr>
          <w:ilvl w:val="0"/>
          <w:numId w:val="4"/>
        </w:numPr>
        <w:suppressAutoHyphens w:val="0"/>
        <w:jc w:val="both"/>
        <w:rPr>
          <w:rFonts w:ascii="Times New Roman" w:hAnsi="Times New Roman" w:cs="Times New Roman"/>
          <w:szCs w:val="24"/>
        </w:rPr>
      </w:pPr>
      <w:r w:rsidRPr="00266C98">
        <w:rPr>
          <w:rFonts w:ascii="Times New Roman" w:hAnsi="Times New Roman" w:cs="Times New Roman"/>
          <w:szCs w:val="24"/>
        </w:rPr>
        <w:t>trzy egzemplarze projektu zagospodarowania działki lub terenu oraz projektu architektoniczno-budowlanego w postaci papierowej, wraz z opiniami, uzgodnieniami, pozwoleniami i innymi dokumentami, których obowiązek dołączenia wynika z przepisów odrębnych ustaw, lub kopiami tych opinii, uzgodnień, pozwoleń i innych dokumentów;</w:t>
      </w:r>
    </w:p>
    <w:p w:rsidR="00824066" w:rsidRPr="00266C98" w:rsidRDefault="00824066" w:rsidP="00906F51">
      <w:pPr>
        <w:pStyle w:val="Akapitzlist"/>
        <w:numPr>
          <w:ilvl w:val="0"/>
          <w:numId w:val="4"/>
        </w:numPr>
        <w:jc w:val="both"/>
        <w:rPr>
          <w:rFonts w:ascii="Times New Roman" w:hAnsi="Times New Roman" w:cs="Times New Roman"/>
          <w:szCs w:val="24"/>
        </w:rPr>
      </w:pPr>
      <w:r w:rsidRPr="00266C98">
        <w:rPr>
          <w:rFonts w:ascii="Times New Roman" w:hAnsi="Times New Roman" w:cs="Times New Roman"/>
          <w:szCs w:val="24"/>
        </w:rPr>
        <w:t>oświadczenie o posiadanym prawie do dysponowania nieruchomością na cele budowlane;</w:t>
      </w:r>
    </w:p>
    <w:p w:rsidR="00824066" w:rsidRPr="00266C98" w:rsidRDefault="00824066" w:rsidP="00906F51">
      <w:pPr>
        <w:pStyle w:val="Akapitzlist"/>
        <w:numPr>
          <w:ilvl w:val="0"/>
          <w:numId w:val="4"/>
        </w:numPr>
        <w:jc w:val="both"/>
        <w:rPr>
          <w:rFonts w:ascii="Times New Roman" w:hAnsi="Times New Roman" w:cs="Times New Roman"/>
          <w:szCs w:val="24"/>
        </w:rPr>
      </w:pPr>
      <w:r w:rsidRPr="00266C98">
        <w:rPr>
          <w:rFonts w:ascii="Times New Roman" w:hAnsi="Times New Roman" w:cs="Times New Roman"/>
          <w:szCs w:val="24"/>
        </w:rPr>
        <w:t xml:space="preserve">oświadczenie projektanta posiadającego uprawnienia </w:t>
      </w:r>
      <w:r w:rsidRPr="00266C98">
        <w:rPr>
          <w:rStyle w:val="Uwydatnienie"/>
          <w:rFonts w:ascii="Times New Roman" w:hAnsi="Times New Roman" w:cs="Times New Roman"/>
          <w:i w:val="0"/>
          <w:iCs w:val="0"/>
          <w:szCs w:val="24"/>
        </w:rPr>
        <w:t>budowlane</w:t>
      </w:r>
      <w:r w:rsidRPr="00266C98">
        <w:rPr>
          <w:rFonts w:ascii="Times New Roman" w:hAnsi="Times New Roman" w:cs="Times New Roman"/>
          <w:szCs w:val="24"/>
        </w:rPr>
        <w:t xml:space="preserve"> w specjalności, o której mowa w art. 14 ust. 1 pkt 4 lit. b, t.j. w zakresie instalacji sanitarnych, dotyczące możliwości podłączenia projektowanego obiektu </w:t>
      </w:r>
      <w:r w:rsidRPr="00266C98">
        <w:rPr>
          <w:rStyle w:val="Uwydatnienie"/>
          <w:rFonts w:ascii="Times New Roman" w:hAnsi="Times New Roman" w:cs="Times New Roman"/>
          <w:i w:val="0"/>
          <w:iCs w:val="0"/>
          <w:szCs w:val="24"/>
        </w:rPr>
        <w:t>budowlanego</w:t>
      </w:r>
      <w:r w:rsidRPr="00266C98">
        <w:rPr>
          <w:rFonts w:ascii="Times New Roman" w:hAnsi="Times New Roman" w:cs="Times New Roman"/>
          <w:szCs w:val="24"/>
        </w:rPr>
        <w:t xml:space="preserve"> do istniejącej sieci ciepłowniczej, zgodnie z warunkami określonymi w art. 7b ustawy z dnia 10 kwietnia 1997 r. - Prawo energetyczne (Dz. U. z 2022 r. poz. 1385), złożone </w:t>
      </w:r>
      <w:r w:rsidRPr="00266C98">
        <w:rPr>
          <w:rFonts w:ascii="Times New Roman" w:hAnsi="Times New Roman" w:cs="Times New Roman"/>
          <w:szCs w:val="24"/>
        </w:rPr>
        <w:lastRenderedPageBreak/>
        <w:t xml:space="preserve">pod rygorem odpowiedzialności karnej za złożenie fałszywego oświadczenia wynikającej z art. 233§6 ustawy z dnia 6 czerwca 1997 r. - Kodeks karny;  </w:t>
      </w:r>
      <w:bookmarkStart w:id="2" w:name="passage_237377"/>
      <w:bookmarkEnd w:id="2"/>
    </w:p>
    <w:p w:rsidR="00824066" w:rsidRPr="0089326F" w:rsidRDefault="00382280" w:rsidP="00906F51">
      <w:pPr>
        <w:pStyle w:val="Akapitzlist"/>
        <w:numPr>
          <w:ilvl w:val="0"/>
          <w:numId w:val="4"/>
        </w:numPr>
        <w:tabs>
          <w:tab w:val="left" w:pos="568"/>
        </w:tabs>
        <w:overflowPunct w:val="0"/>
        <w:autoSpaceDE w:val="0"/>
        <w:jc w:val="both"/>
      </w:pPr>
      <w:r>
        <w:rPr>
          <w:rFonts w:ascii="Times New Roman" w:hAnsi="Times New Roman" w:cs="Times New Roman"/>
          <w:szCs w:val="24"/>
        </w:rPr>
        <w:t xml:space="preserve">   </w:t>
      </w:r>
      <w:r w:rsidR="00824066" w:rsidRPr="00266C98">
        <w:rPr>
          <w:rFonts w:ascii="Times New Roman" w:hAnsi="Times New Roman" w:cs="Times New Roman"/>
          <w:szCs w:val="24"/>
        </w:rPr>
        <w:t>pełnomocnictwo wraz z potwierdzeniem wniesienia opł</w:t>
      </w:r>
      <w:r>
        <w:rPr>
          <w:rFonts w:ascii="Times New Roman" w:hAnsi="Times New Roman" w:cs="Times New Roman"/>
          <w:szCs w:val="24"/>
        </w:rPr>
        <w:t>aty skarbowej od pełnomocnictwa.</w:t>
      </w:r>
    </w:p>
    <w:p w:rsidR="00576BD2" w:rsidRDefault="00576BD2">
      <w:pPr>
        <w:tabs>
          <w:tab w:val="left" w:pos="568"/>
        </w:tabs>
        <w:overflowPunct w:val="0"/>
        <w:autoSpaceDE w:val="0"/>
        <w:jc w:val="both"/>
        <w:rPr>
          <w:color w:val="92D050"/>
        </w:rPr>
      </w:pPr>
    </w:p>
    <w:p w:rsidR="00250597" w:rsidRPr="004C626C" w:rsidRDefault="00250597" w:rsidP="00250597">
      <w:pPr>
        <w:pStyle w:val="Standard"/>
        <w:ind w:firstLine="708"/>
        <w:jc w:val="both"/>
      </w:pPr>
      <w:r w:rsidRPr="004C626C">
        <w:rPr>
          <w:bCs/>
        </w:rPr>
        <w:t xml:space="preserve">Wobec tego, że inwestor nie złożył do Starosty Piaseczyńskiego wniosku o ponowne przeprowadzenie oceny oddziaływania przedsięwzięcia na środowisko, organ dokonał na podstawie </w:t>
      </w:r>
      <w:r w:rsidRPr="004C626C">
        <w:t xml:space="preserve">art. 88 ust. 1 pkt 2 ustawy z dnia 3 października 2008 r. o udostępnianiu informacji o środowisku i jego ochronie, udziale społeczeństwa w ochronie środowiska oraz o ocenach oddziaływania na środowisko (t.j. Dz. U. z 2020 r., poz. 283 ze zm.) </w:t>
      </w:r>
      <w:r w:rsidRPr="004C626C">
        <w:rPr>
          <w:bCs/>
        </w:rPr>
        <w:t>oceny,</w:t>
      </w:r>
      <w:r w:rsidRPr="004C626C">
        <w:t xml:space="preserve"> czy we wniosku o wydanie decyzji o pozwoleniu na budowę zostały dokonane zmiany w stosunku do wymagań określonych w decyzji o środowiskowych uwarunkowaniach. W związku z powyższym dokonano zbadania zgodności dokumentacji i nie stwierdzono niezgodności zapisów decyzji środowiskowej z wnioskiem o pozwolenie na budowę. Po zbadaniu materiału dowodowego </w:t>
      </w:r>
      <w:r w:rsidRPr="004C626C">
        <w:rPr>
          <w:iCs/>
        </w:rPr>
        <w:t xml:space="preserve">organ uznał, że nie zachodzi konieczność ponownego przeprowadzenia oceny oddziaływania inwestycji na środowisko. </w:t>
      </w:r>
    </w:p>
    <w:p w:rsidR="00250597" w:rsidRDefault="00250597" w:rsidP="00250597">
      <w:pPr>
        <w:pStyle w:val="Standard"/>
        <w:ind w:firstLine="349"/>
        <w:jc w:val="both"/>
      </w:pPr>
      <w:r w:rsidRPr="004C626C">
        <w:t xml:space="preserve">Wypełniając zapis art. 95 ww. ustawy o udostępnianiu informacji o środowisku i jego ochronie, udziale społeczeństwa w ochronie środowiska oraz o ocenach oddziaływania na środowisko, tutejszy organ wskazuje poniżej wymagania dotyczące ochrony środowiska konieczne do uwzględnienia w dokumentacji wymaganej do wydania decyzji, oraz  w jaki sposób zostały one uwzględnione w projekcie budowlanym w zakresie warunków zabezpieczenia terenu budowy i prowadzenia robót budowlanych organ przypomniał o konieczności dostosowania się do uwag i zaleceń zawartych w decyzji środowiskowej </w:t>
      </w:r>
      <w:r>
        <w:t>Wójta Gminy Lesznowola</w:t>
      </w:r>
      <w:r w:rsidRPr="004C626C">
        <w:t xml:space="preserve"> </w:t>
      </w:r>
      <w:r>
        <w:t xml:space="preserve"> nr 90/2021 </w:t>
      </w:r>
      <w:r w:rsidRPr="004C626C">
        <w:t xml:space="preserve">z dnia </w:t>
      </w:r>
      <w:r>
        <w:t>18 sierpnia 2021</w:t>
      </w:r>
      <w:r w:rsidRPr="004C626C">
        <w:t xml:space="preserve"> r., znak </w:t>
      </w:r>
      <w:r>
        <w:t>RSR.6220.12.2021.WD.8</w:t>
      </w:r>
      <w:r w:rsidRPr="004C626C">
        <w:t>,</w:t>
      </w:r>
      <w:r>
        <w:t xml:space="preserve"> tj.</w:t>
      </w:r>
      <w:r w:rsidRPr="004C626C">
        <w:t>:</w:t>
      </w:r>
      <w:r>
        <w:t xml:space="preserve"> </w:t>
      </w:r>
    </w:p>
    <w:p w:rsidR="00DA7133" w:rsidRDefault="00DA7133" w:rsidP="00906F51">
      <w:pPr>
        <w:pStyle w:val="Standard"/>
        <w:numPr>
          <w:ilvl w:val="0"/>
          <w:numId w:val="25"/>
        </w:numPr>
        <w:jc w:val="both"/>
      </w:pPr>
      <w:r>
        <w:t>bezpośrednio przed podjęciem prac związanych z realizacją inwestycji, w ty, s szczególności związanych z wycinką drzew, usunięciem wierzchniej warstwy gruntu lub przekształceniem istniejącego zbiornika wodnego w zbiornik retencyjny, należy dokonać kontroli terenu  pod katem występowania gatunków objętych ochroną i ich siedlisk oraz analizy przepisów z zakresu ochrony gatunkowej; analiza winna być prowadzona również w kontekście możliwości uzyskania decyzji zezwalającej na odstępstwa od zakazów obowiązujących w stosunku do ww. formy ochrony przyrody; kontrolę należy prowadzić pod nadzorem przyrodniczym; w przypadku identyfikacji gatunku</w:t>
      </w:r>
      <w:r w:rsidR="00087ACD">
        <w:t xml:space="preserve"> podlegającego ochronie należy w razie potrzeby uzyskać decyzję zwalniającą z zakazów obowiązujących w stosunku do ww. formy ochrony przyrody;</w:t>
      </w:r>
    </w:p>
    <w:p w:rsidR="00087ACD" w:rsidRDefault="00087ACD" w:rsidP="00906F51">
      <w:pPr>
        <w:pStyle w:val="Standard"/>
        <w:numPr>
          <w:ilvl w:val="0"/>
          <w:numId w:val="25"/>
        </w:numPr>
        <w:jc w:val="both"/>
      </w:pPr>
      <w:r>
        <w:t>przed rozpoczęciem robót oraz w ich trakcie należy kontrolować teren budowy pod katem obecności zwierząt i umożliwić im ucieczkę lub przenieść je poza teren budowy w bezpieczne dla nich miejsce, przeniesienie gatunków należy prowadzić pod nadzorem przyrodniczym, z zastosowaniem przepisów odrębnych;</w:t>
      </w:r>
    </w:p>
    <w:p w:rsidR="00087ACD" w:rsidRDefault="00087ACD" w:rsidP="00906F51">
      <w:pPr>
        <w:pStyle w:val="Standard"/>
        <w:numPr>
          <w:ilvl w:val="0"/>
          <w:numId w:val="25"/>
        </w:numPr>
        <w:jc w:val="both"/>
      </w:pPr>
      <w:r>
        <w:t>wszelkie „pułapki” (np. głębokie wykopy) starannie zabezpieczyć przed wpadaniem i uwięzieniem w nich drobnych zwierząt; termin , lokalizację i sposób wykonania zabezpieczeń doprecyzuje nadzór przyrodniczy koordynujący całość praz zabezpieczających, po uwzględnieniu uwarunkowań lokalnych, występujących na gruncie;</w:t>
      </w:r>
    </w:p>
    <w:p w:rsidR="00087ACD" w:rsidRDefault="00087ACD" w:rsidP="00906F51">
      <w:pPr>
        <w:pStyle w:val="Standard"/>
        <w:numPr>
          <w:ilvl w:val="0"/>
          <w:numId w:val="25"/>
        </w:numPr>
        <w:jc w:val="both"/>
      </w:pPr>
      <w:r>
        <w:t>przed zasypaniem wykopów przy udziale nadzoru  przyrodniczego sprawdzić dno pod katem obecności w nich zwierząt, a w przypadku stwierdzenia ewakuować je poza teren budowy, z zastosowaniem przepisów odrębnych;</w:t>
      </w:r>
    </w:p>
    <w:p w:rsidR="00087ACD" w:rsidRDefault="00087ACD" w:rsidP="00906F51">
      <w:pPr>
        <w:pStyle w:val="Standard"/>
        <w:numPr>
          <w:ilvl w:val="0"/>
          <w:numId w:val="25"/>
        </w:numPr>
        <w:jc w:val="both"/>
      </w:pPr>
      <w:r>
        <w:t xml:space="preserve">korony, pnie oraz korzenie drzew przewidzianych do zachowania należy zabezpieczyć zgodnie ze sztuką ogrodniczą, według wskazań  i przy udziale nadzoru </w:t>
      </w:r>
      <w:r>
        <w:lastRenderedPageBreak/>
        <w:t>przyrodniczego; zakazuje się składowania urobku, kruszyw, materiałów budowlanych i odpadów w zasięgu koron ww. drzew;</w:t>
      </w:r>
    </w:p>
    <w:p w:rsidR="00087ACD" w:rsidRDefault="00087ACD" w:rsidP="00906F51">
      <w:pPr>
        <w:pStyle w:val="Standard"/>
        <w:numPr>
          <w:ilvl w:val="0"/>
          <w:numId w:val="25"/>
        </w:numPr>
        <w:jc w:val="both"/>
      </w:pPr>
      <w:r>
        <w:t>na placu budowy stosować oświetlenie dające tzw. „ciepłe” widmo świetlne, np. lampy sodowe lub LED, lampy powinny bezwarunkowo posiadać szczelne obudowy;</w:t>
      </w:r>
    </w:p>
    <w:p w:rsidR="00087ACD" w:rsidRDefault="00087ACD" w:rsidP="00906F51">
      <w:pPr>
        <w:pStyle w:val="Standard"/>
        <w:numPr>
          <w:ilvl w:val="0"/>
          <w:numId w:val="25"/>
        </w:numPr>
        <w:jc w:val="both"/>
      </w:pPr>
      <w:r>
        <w:t>zdjęta urodzajną warstwę gleby zdeponować w pryzmach, zabezpieczyć przed przesuszeniem w czasie składowania i wykorzystać do rekultywacji terenu inwestycji po zakończeniu jej realizacji;</w:t>
      </w:r>
    </w:p>
    <w:p w:rsidR="00087ACD" w:rsidRDefault="00087ACD" w:rsidP="00906F51">
      <w:pPr>
        <w:pStyle w:val="Standard"/>
        <w:numPr>
          <w:ilvl w:val="0"/>
          <w:numId w:val="25"/>
        </w:numPr>
        <w:jc w:val="both"/>
      </w:pPr>
      <w:r>
        <w:t>podczas budowy stosować sprawny technicznie sprzęt i urządzenia budowlane;</w:t>
      </w:r>
    </w:p>
    <w:p w:rsidR="00087ACD" w:rsidRDefault="00087ACD" w:rsidP="00906F51">
      <w:pPr>
        <w:pStyle w:val="Standard"/>
        <w:numPr>
          <w:ilvl w:val="0"/>
          <w:numId w:val="25"/>
        </w:numPr>
        <w:jc w:val="both"/>
      </w:pPr>
      <w:r>
        <w:t xml:space="preserve">zaplecze budowy, a w szczególności miejsca postoju pojazdów i maszyn, utwardzić i zabezpieczyć przed przedostaniem się substancji </w:t>
      </w:r>
      <w:r w:rsidR="0027683E">
        <w:t xml:space="preserve"> ropopochodnych do gruntu i wód;</w:t>
      </w:r>
    </w:p>
    <w:p w:rsidR="0027683E" w:rsidRDefault="0027683E" w:rsidP="00906F51">
      <w:pPr>
        <w:pStyle w:val="Standard"/>
        <w:numPr>
          <w:ilvl w:val="0"/>
          <w:numId w:val="25"/>
        </w:numPr>
        <w:jc w:val="both"/>
      </w:pPr>
      <w:r>
        <w:t>zaplecze budowy wyposażyć w materiały sorpcyjne umożliwiające szybkie usunięcie ewentualnych wycieków paliw;</w:t>
      </w:r>
    </w:p>
    <w:p w:rsidR="0027683E" w:rsidRDefault="0027683E" w:rsidP="00906F51">
      <w:pPr>
        <w:pStyle w:val="Standard"/>
        <w:numPr>
          <w:ilvl w:val="0"/>
          <w:numId w:val="25"/>
        </w:numPr>
        <w:jc w:val="both"/>
      </w:pPr>
      <w:r>
        <w:t>udostępnić pracownikom dostęp do przenośnych urządzeń, a ścieki socjalno-bytowe gromadzić w szczelnych zbiornikach i zagospodarować zgodnie z umową z wyspecjalizowanym podmiotem;</w:t>
      </w:r>
    </w:p>
    <w:p w:rsidR="0027683E" w:rsidRDefault="0027683E" w:rsidP="00906F51">
      <w:pPr>
        <w:pStyle w:val="Standard"/>
        <w:numPr>
          <w:ilvl w:val="0"/>
          <w:numId w:val="25"/>
        </w:numPr>
        <w:jc w:val="both"/>
      </w:pPr>
      <w:r>
        <w:t>przygotować miejsca do selektywnej zbiórki odpadów i odpowiednio zabezpieczyć odpady przed wpływem czynników atmosferycznych, w  sposób uniemożliwiający przedostawanie się zanieczyszczeń (odcieków) do środowiska gruntowo-wodnego’</w:t>
      </w:r>
    </w:p>
    <w:p w:rsidR="0027683E" w:rsidRDefault="0027683E" w:rsidP="00906F51">
      <w:pPr>
        <w:pStyle w:val="Standard"/>
        <w:numPr>
          <w:ilvl w:val="0"/>
          <w:numId w:val="25"/>
        </w:numPr>
        <w:jc w:val="both"/>
      </w:pPr>
      <w:r>
        <w:t>odpady niebezpieczne oraz inne niż niebezpieczne magazynować selektywnie w sposób zabezpieczający środowisko i przekazywać do odzysku lub unieszkodliwienia uprawnionym firmom;</w:t>
      </w:r>
    </w:p>
    <w:p w:rsidR="0027683E" w:rsidRDefault="0027683E" w:rsidP="00906F51">
      <w:pPr>
        <w:pStyle w:val="Standard"/>
        <w:numPr>
          <w:ilvl w:val="0"/>
          <w:numId w:val="25"/>
        </w:numPr>
        <w:jc w:val="both"/>
      </w:pPr>
      <w:r>
        <w:t>roboty ziemne prowadzić z sposób maksymalnie ograniczający ingerencję w warstwy wodonośne;</w:t>
      </w:r>
    </w:p>
    <w:p w:rsidR="0027683E" w:rsidRDefault="0027683E" w:rsidP="00906F51">
      <w:pPr>
        <w:pStyle w:val="Standard"/>
        <w:numPr>
          <w:ilvl w:val="0"/>
          <w:numId w:val="25"/>
        </w:numPr>
        <w:jc w:val="both"/>
      </w:pPr>
      <w:r>
        <w:t>zastosować igłofiltry w przypadku konieczności odwodnienia;</w:t>
      </w:r>
    </w:p>
    <w:p w:rsidR="0027683E" w:rsidRDefault="0027683E" w:rsidP="00906F51">
      <w:pPr>
        <w:pStyle w:val="Standard"/>
        <w:numPr>
          <w:ilvl w:val="0"/>
          <w:numId w:val="25"/>
        </w:numPr>
        <w:jc w:val="both"/>
      </w:pPr>
      <w:r>
        <w:t xml:space="preserve"> wodę z odwodnienia zagospodarować w obrębie przedsięwzięcia, a w przypadku braku takiej możliwości do najbliższego rowu lub cieku po dokonaniu zgłoszenia wodnoprawnego lub wywozić z inwestycji za pomocą beczkowozów;</w:t>
      </w:r>
    </w:p>
    <w:p w:rsidR="0027683E" w:rsidRDefault="0027683E" w:rsidP="00906F51">
      <w:pPr>
        <w:pStyle w:val="Standard"/>
        <w:numPr>
          <w:ilvl w:val="0"/>
          <w:numId w:val="25"/>
        </w:numPr>
        <w:jc w:val="both"/>
      </w:pPr>
      <w:r>
        <w:t>na etapie realizacji wodę pobierać poprzez przyłącze z wodociągu gminnego, lub w przypadku braku takiej możliwości z ujęcia własnego;</w:t>
      </w:r>
    </w:p>
    <w:p w:rsidR="0027683E" w:rsidRDefault="0027683E" w:rsidP="00906F51">
      <w:pPr>
        <w:pStyle w:val="Standard"/>
        <w:numPr>
          <w:ilvl w:val="0"/>
          <w:numId w:val="25"/>
        </w:numPr>
        <w:jc w:val="both"/>
      </w:pPr>
      <w:r>
        <w:t>na etapie eksploatacji wodę pobierać z gminnej sieci wodociągowej na podstawie umowy  z gestorem sieci lub w przypadku  braku takiej możliwości z ujęcia własnego;</w:t>
      </w:r>
    </w:p>
    <w:p w:rsidR="0027683E" w:rsidRDefault="0027683E" w:rsidP="00906F51">
      <w:pPr>
        <w:pStyle w:val="Standard"/>
        <w:numPr>
          <w:ilvl w:val="0"/>
          <w:numId w:val="25"/>
        </w:numPr>
        <w:jc w:val="both"/>
      </w:pPr>
      <w:r>
        <w:t>racjonalnie gospodarować wodą;</w:t>
      </w:r>
    </w:p>
    <w:p w:rsidR="0027683E" w:rsidRDefault="0027683E" w:rsidP="00906F51">
      <w:pPr>
        <w:pStyle w:val="Standard"/>
        <w:numPr>
          <w:ilvl w:val="0"/>
          <w:numId w:val="25"/>
        </w:numPr>
        <w:jc w:val="both"/>
      </w:pPr>
      <w:r>
        <w:t>na etapie eksploatacji ścieki socjalno-bytowe odprowadzać do kanalizacji sanitarnej lub do czasu realizacji przyłącza do szczelnych zbiorników bezodpływowych;</w:t>
      </w:r>
    </w:p>
    <w:p w:rsidR="008E6D3E" w:rsidRDefault="0027683E" w:rsidP="00906F51">
      <w:pPr>
        <w:pStyle w:val="Standard"/>
        <w:numPr>
          <w:ilvl w:val="0"/>
          <w:numId w:val="25"/>
        </w:numPr>
        <w:jc w:val="both"/>
      </w:pPr>
      <w:r>
        <w:t xml:space="preserve">zaprojektować system retencjonowania wód, gwarantujący przechwycenie deszczu nawalnego o natężeniu 150l/sek/ha terenu w czasie nie krótszym </w:t>
      </w:r>
      <w:r w:rsidR="008E6D3E">
        <w:t>niż 15 minut, przy uwzględnieniu współczynnika spływu f=1,0 bez względu na rodzaj powierzchni dla całego terenu inwestycji, z wyłączeniem powierzchni istniejącego zbiornika otwartego;</w:t>
      </w:r>
    </w:p>
    <w:p w:rsidR="008E6D3E" w:rsidRDefault="008E6D3E" w:rsidP="00906F51">
      <w:pPr>
        <w:pStyle w:val="Standard"/>
        <w:numPr>
          <w:ilvl w:val="0"/>
          <w:numId w:val="25"/>
        </w:numPr>
        <w:jc w:val="both"/>
      </w:pPr>
      <w:r>
        <w:t>zaprojektowany system powinien gwarantować odbudowę retencji w czasie nie dłuższym niż 48h;</w:t>
      </w:r>
    </w:p>
    <w:p w:rsidR="008E6D3E" w:rsidRDefault="008E6D3E" w:rsidP="00906F51">
      <w:pPr>
        <w:pStyle w:val="Standard"/>
        <w:numPr>
          <w:ilvl w:val="0"/>
          <w:numId w:val="25"/>
        </w:numPr>
        <w:jc w:val="both"/>
      </w:pPr>
      <w:r>
        <w:t>dopuszcza się zrzut wód deszczowych do Kanału Piaseczyńskiego po ich uprzednim zretencjonowaniu, w ilości nie większej niż 3,5l/ sek.;</w:t>
      </w:r>
    </w:p>
    <w:p w:rsidR="0027683E" w:rsidRDefault="0027683E" w:rsidP="00906F51">
      <w:pPr>
        <w:pStyle w:val="Standard"/>
        <w:numPr>
          <w:ilvl w:val="0"/>
          <w:numId w:val="25"/>
        </w:numPr>
        <w:jc w:val="both"/>
      </w:pPr>
      <w:r>
        <w:t xml:space="preserve"> </w:t>
      </w:r>
      <w:r w:rsidR="008E6D3E">
        <w:t>wody opadowe i roztopowe odprowadzone z systemu zagospodarowania wód musza spełniać warunki określone w Rozporządzeniu Ministra Gospodarki i Żeglugi Śródlądowej z dnia 12 lipca 2019 r. (Dz. U. z 2019 r,. poz. 1311);</w:t>
      </w:r>
    </w:p>
    <w:p w:rsidR="008E6D3E" w:rsidRDefault="008E6D3E" w:rsidP="00906F51">
      <w:pPr>
        <w:pStyle w:val="Standard"/>
        <w:numPr>
          <w:ilvl w:val="0"/>
          <w:numId w:val="25"/>
        </w:numPr>
        <w:jc w:val="both"/>
      </w:pPr>
      <w:r>
        <w:t>wody opadowe muszą zostać zagospodarowane na terenie własnym inwestora, w sposób niepowodujący zalewania terenów sąsiednich;</w:t>
      </w:r>
    </w:p>
    <w:p w:rsidR="008E6D3E" w:rsidRDefault="008E6D3E" w:rsidP="00906F51">
      <w:pPr>
        <w:pStyle w:val="Standard"/>
        <w:numPr>
          <w:ilvl w:val="0"/>
          <w:numId w:val="25"/>
        </w:numPr>
        <w:jc w:val="both"/>
      </w:pPr>
      <w:r>
        <w:lastRenderedPageBreak/>
        <w:t>wody opadowe i roztopowe z terenów utwardzonych podczyszczać w separatorach substancji ropopochodnych;</w:t>
      </w:r>
    </w:p>
    <w:p w:rsidR="008E6D3E" w:rsidRDefault="008E6D3E" w:rsidP="00906F51">
      <w:pPr>
        <w:pStyle w:val="Standard"/>
        <w:numPr>
          <w:ilvl w:val="0"/>
          <w:numId w:val="25"/>
        </w:numPr>
        <w:jc w:val="both"/>
      </w:pPr>
      <w:r>
        <w:t>konserwować urządzenia podczyszczające poprzez zapewnienie serwisu ze strony specjalistycznych i uprawnionych firm.</w:t>
      </w:r>
    </w:p>
    <w:p w:rsidR="00B51560" w:rsidRDefault="00B51560" w:rsidP="00B51560">
      <w:pPr>
        <w:pStyle w:val="Standard"/>
        <w:ind w:left="720"/>
        <w:jc w:val="both"/>
      </w:pPr>
    </w:p>
    <w:p w:rsidR="00B51560" w:rsidRPr="00320BF0" w:rsidRDefault="00B51560" w:rsidP="00B51560">
      <w:pPr>
        <w:pStyle w:val="Standard"/>
        <w:ind w:left="720"/>
        <w:jc w:val="both"/>
      </w:pPr>
      <w:r w:rsidRPr="00320BF0">
        <w:t>Powyższe punkty zostały spełnione poprzez:</w:t>
      </w:r>
    </w:p>
    <w:p w:rsidR="00320BF0" w:rsidRPr="00320BF0" w:rsidRDefault="00320BF0" w:rsidP="00320BF0">
      <w:pPr>
        <w:pStyle w:val="Akapitzlist"/>
        <w:widowControl/>
        <w:numPr>
          <w:ilvl w:val="0"/>
          <w:numId w:val="33"/>
        </w:numPr>
        <w:pBdr>
          <w:top w:val="none" w:sz="0" w:space="0" w:color="auto"/>
          <w:left w:val="none" w:sz="0" w:space="0" w:color="auto"/>
          <w:bottom w:val="none" w:sz="0" w:space="0" w:color="auto"/>
          <w:right w:val="none" w:sz="0" w:space="0" w:color="auto"/>
        </w:pBdr>
        <w:suppressAutoHyphens w:val="0"/>
        <w:spacing w:line="257" w:lineRule="auto"/>
        <w:contextualSpacing/>
        <w:jc w:val="both"/>
        <w:textAlignment w:val="auto"/>
        <w:rPr>
          <w:rFonts w:ascii="Times New Roman" w:hAnsi="Times New Roman" w:cs="Times New Roman"/>
          <w:szCs w:val="24"/>
        </w:rPr>
      </w:pPr>
      <w:r w:rsidRPr="00320BF0">
        <w:rPr>
          <w:rFonts w:ascii="Times New Roman" w:hAnsi="Times New Roman" w:cs="Times New Roman"/>
          <w:szCs w:val="24"/>
        </w:rPr>
        <w:t>bezpośrednio przed podjęciem prac związanych z realizacją inwestycji, w tym w szczególności związanych z wycinką drzew, usunięciem wierzchniej warstwy gruntu lub przekształceniem istniejącego zbiornika wodnego w zbiornik retencyjny, należy dokonać kontroli terenu pod kątem występowania gatunków objętych ochroną i ich siedlisk oraz analizy przepisów z zakresu ochrony gatunkowej; analiza winna być prowadzona również w kontekście możliwości uzyskania decyzji zezwalającej na odstępstwa od zakazów obowiązujących w stosunku do ww. formy ochrony przyrody; kontrolę należy prowadzić pod nadzorem przyrodniczym; w przypadku identyfikacji gatunku podlegającego ochronie należy w razie potrzeby uzyskać decyzję zwalniającą z zakazów obowiązujących w stosunku do ww. formy ochrony przyrody,</w:t>
      </w:r>
    </w:p>
    <w:p w:rsidR="00320BF0" w:rsidRPr="00320BF0" w:rsidRDefault="00320BF0" w:rsidP="00320BF0">
      <w:pPr>
        <w:pStyle w:val="GPPOPIS"/>
        <w:spacing w:after="0"/>
        <w:ind w:left="720"/>
        <w:jc w:val="both"/>
        <w:rPr>
          <w:rFonts w:ascii="Times New Roman" w:hAnsi="Times New Roman" w:cs="Times New Roman"/>
          <w:i/>
          <w:iCs/>
          <w:sz w:val="24"/>
          <w:szCs w:val="24"/>
        </w:rPr>
      </w:pPr>
      <w:r w:rsidRPr="00320BF0">
        <w:rPr>
          <w:rFonts w:ascii="Times New Roman" w:hAnsi="Times New Roman" w:cs="Times New Roman"/>
          <w:i/>
          <w:iCs/>
          <w:sz w:val="24"/>
          <w:szCs w:val="24"/>
        </w:rPr>
        <w:t>Warunek spełniony. Przed rozpoczęciem prac teren zostanie sprawdzony pod nadzorem przyrodniczym pod kątem występowania gatunków objętych ochroną i ich siedlisk. Podczas kontroli terenu przeprowadzona będzie także analiza w kontekście ew. możliwości uzyskania decyzji zwalniającej z zakazów obowiązujących w stosunku do ww. formy ochrony przyrody.</w:t>
      </w:r>
    </w:p>
    <w:p w:rsidR="00320BF0" w:rsidRPr="00320BF0" w:rsidRDefault="00320BF0" w:rsidP="00320BF0">
      <w:pPr>
        <w:pStyle w:val="Akapitzlist"/>
        <w:widowControl/>
        <w:numPr>
          <w:ilvl w:val="0"/>
          <w:numId w:val="33"/>
        </w:numPr>
        <w:pBdr>
          <w:top w:val="none" w:sz="0" w:space="0" w:color="auto"/>
          <w:left w:val="none" w:sz="0" w:space="0" w:color="auto"/>
          <w:bottom w:val="none" w:sz="0" w:space="0" w:color="auto"/>
          <w:right w:val="none" w:sz="0" w:space="0" w:color="auto"/>
        </w:pBdr>
        <w:suppressAutoHyphens w:val="0"/>
        <w:contextualSpacing/>
        <w:jc w:val="both"/>
        <w:textAlignment w:val="auto"/>
        <w:rPr>
          <w:rFonts w:ascii="Times New Roman" w:hAnsi="Times New Roman" w:cs="Times New Roman"/>
          <w:szCs w:val="24"/>
        </w:rPr>
      </w:pPr>
      <w:r w:rsidRPr="00320BF0">
        <w:rPr>
          <w:rFonts w:ascii="Times New Roman" w:hAnsi="Times New Roman" w:cs="Times New Roman"/>
          <w:szCs w:val="24"/>
        </w:rPr>
        <w:t>przed rozpoczęciem robót oraz w ich trakcie należy kontrolować teren budowy pod kątem obecności zwierząt i umożliwić im ucieczkę lub przenieść je poza teren budowy w bezpieczne dla nich miejsce; przeniesienie gatunków należy prowadzić pod nadzorem przyrodniczym, z zastosowaniem przepisów odrębnych,</w:t>
      </w:r>
    </w:p>
    <w:p w:rsidR="00320BF0" w:rsidRPr="00320BF0" w:rsidRDefault="00320BF0" w:rsidP="00320BF0">
      <w:pPr>
        <w:pStyle w:val="GPPOPIS"/>
        <w:spacing w:after="0"/>
        <w:ind w:left="720"/>
        <w:jc w:val="both"/>
        <w:rPr>
          <w:rFonts w:ascii="Times New Roman" w:hAnsi="Times New Roman" w:cs="Times New Roman"/>
          <w:i/>
          <w:iCs/>
          <w:sz w:val="24"/>
          <w:szCs w:val="24"/>
        </w:rPr>
      </w:pPr>
      <w:r w:rsidRPr="00320BF0">
        <w:rPr>
          <w:rFonts w:ascii="Times New Roman" w:hAnsi="Times New Roman" w:cs="Times New Roman"/>
          <w:i/>
          <w:iCs/>
          <w:sz w:val="24"/>
          <w:szCs w:val="24"/>
        </w:rPr>
        <w:t>Warunek spełniony. Przed i podczas prowadzenia robót teren będzie kontrolowany pod kątem obecności zwierząt. Ich ewakuacja będzie przeprowadzana zgodnie z powyższymi wytycznymi.</w:t>
      </w:r>
    </w:p>
    <w:p w:rsidR="00320BF0" w:rsidRPr="00320BF0" w:rsidRDefault="00320BF0" w:rsidP="00320BF0">
      <w:pPr>
        <w:pStyle w:val="Akapitzlist"/>
        <w:widowControl/>
        <w:numPr>
          <w:ilvl w:val="0"/>
          <w:numId w:val="33"/>
        </w:numPr>
        <w:pBdr>
          <w:top w:val="none" w:sz="0" w:space="0" w:color="auto"/>
          <w:left w:val="none" w:sz="0" w:space="0" w:color="auto"/>
          <w:bottom w:val="none" w:sz="0" w:space="0" w:color="auto"/>
          <w:right w:val="none" w:sz="0" w:space="0" w:color="auto"/>
        </w:pBdr>
        <w:suppressAutoHyphens w:val="0"/>
        <w:contextualSpacing/>
        <w:jc w:val="both"/>
        <w:textAlignment w:val="auto"/>
        <w:rPr>
          <w:rFonts w:ascii="Times New Roman" w:hAnsi="Times New Roman" w:cs="Times New Roman"/>
          <w:szCs w:val="24"/>
        </w:rPr>
      </w:pPr>
      <w:r w:rsidRPr="00320BF0">
        <w:rPr>
          <w:rFonts w:ascii="Times New Roman" w:hAnsi="Times New Roman" w:cs="Times New Roman"/>
          <w:szCs w:val="24"/>
        </w:rPr>
        <w:t>wszelkie „pułapki” (np. głębokie wykopy) starannie zabezpieczyć przed wpadaniem i uwięzieniem w nich drobnych zwierząt; termin, lokalizację i sposób wykonania zabezpieczeń doprecyzuje nadzór przyrodniczy koordynujący całość prac zabezpieczających, po uwzględnieniu uwarunkowań lokalnych, występujących na gruncie,</w:t>
      </w:r>
    </w:p>
    <w:p w:rsidR="00320BF0" w:rsidRPr="00320BF0" w:rsidRDefault="00320BF0" w:rsidP="00320BF0">
      <w:pPr>
        <w:pStyle w:val="GPPOPIS"/>
        <w:spacing w:after="0"/>
        <w:ind w:left="720"/>
        <w:jc w:val="both"/>
        <w:rPr>
          <w:rFonts w:ascii="Times New Roman" w:hAnsi="Times New Roman" w:cs="Times New Roman"/>
          <w:i/>
          <w:iCs/>
          <w:sz w:val="24"/>
          <w:szCs w:val="24"/>
        </w:rPr>
      </w:pPr>
      <w:r w:rsidRPr="00320BF0">
        <w:rPr>
          <w:rFonts w:ascii="Times New Roman" w:hAnsi="Times New Roman" w:cs="Times New Roman"/>
          <w:i/>
          <w:iCs/>
          <w:sz w:val="24"/>
          <w:szCs w:val="24"/>
        </w:rPr>
        <w:t xml:space="preserve">Warunek spełniony. Zabezpieczenia przed uwiezieniem w wykopach drobnych zwierząt zostaną wykonane zgodnie z wytycznymi nadzoru przyrodniczego. </w:t>
      </w:r>
    </w:p>
    <w:p w:rsidR="00320BF0" w:rsidRPr="00320BF0" w:rsidRDefault="00320BF0" w:rsidP="00320BF0">
      <w:pPr>
        <w:pStyle w:val="Akapitzlist"/>
        <w:widowControl/>
        <w:numPr>
          <w:ilvl w:val="0"/>
          <w:numId w:val="33"/>
        </w:numPr>
        <w:pBdr>
          <w:top w:val="none" w:sz="0" w:space="0" w:color="auto"/>
          <w:left w:val="none" w:sz="0" w:space="0" w:color="auto"/>
          <w:bottom w:val="none" w:sz="0" w:space="0" w:color="auto"/>
          <w:right w:val="none" w:sz="0" w:space="0" w:color="auto"/>
        </w:pBdr>
        <w:suppressAutoHyphens w:val="0"/>
        <w:contextualSpacing/>
        <w:jc w:val="both"/>
        <w:textAlignment w:val="auto"/>
        <w:rPr>
          <w:rFonts w:ascii="Times New Roman" w:hAnsi="Times New Roman" w:cs="Times New Roman"/>
          <w:szCs w:val="24"/>
        </w:rPr>
      </w:pPr>
      <w:r w:rsidRPr="00320BF0">
        <w:rPr>
          <w:rFonts w:ascii="Times New Roman" w:hAnsi="Times New Roman" w:cs="Times New Roman"/>
          <w:szCs w:val="24"/>
        </w:rPr>
        <w:t>przed zasypaniem wykopów przy udziale nadzoru przyrodniczego sprawdzić dno pod kątem obecności w nich zwierząt, a w przypadku stwierdzenia ewakuować je poza teren budowy, z zastosowaniem przepisów odrębnych,</w:t>
      </w:r>
    </w:p>
    <w:p w:rsidR="00320BF0" w:rsidRPr="00320BF0" w:rsidRDefault="00320BF0" w:rsidP="00320BF0">
      <w:pPr>
        <w:pStyle w:val="GPPOPIS"/>
        <w:spacing w:after="0"/>
        <w:ind w:left="720"/>
        <w:jc w:val="both"/>
        <w:rPr>
          <w:rFonts w:ascii="Times New Roman" w:hAnsi="Times New Roman" w:cs="Times New Roman"/>
          <w:sz w:val="24"/>
          <w:szCs w:val="24"/>
        </w:rPr>
      </w:pPr>
      <w:r w:rsidRPr="00320BF0">
        <w:rPr>
          <w:rFonts w:ascii="Times New Roman" w:hAnsi="Times New Roman" w:cs="Times New Roman"/>
          <w:i/>
          <w:iCs/>
          <w:sz w:val="24"/>
          <w:szCs w:val="24"/>
        </w:rPr>
        <w:t xml:space="preserve">Warunek spełniony. Przed zasypaniem wykopy zostaną sprawdzone przy udziale nadzoru przyrodniczego. </w:t>
      </w:r>
    </w:p>
    <w:p w:rsidR="00320BF0" w:rsidRPr="00320BF0" w:rsidRDefault="00320BF0" w:rsidP="00320BF0">
      <w:pPr>
        <w:pStyle w:val="Akapitzlist"/>
        <w:widowControl/>
        <w:numPr>
          <w:ilvl w:val="0"/>
          <w:numId w:val="33"/>
        </w:numPr>
        <w:pBdr>
          <w:top w:val="none" w:sz="0" w:space="0" w:color="auto"/>
          <w:left w:val="none" w:sz="0" w:space="0" w:color="auto"/>
          <w:bottom w:val="none" w:sz="0" w:space="0" w:color="auto"/>
          <w:right w:val="none" w:sz="0" w:space="0" w:color="auto"/>
        </w:pBdr>
        <w:suppressAutoHyphens w:val="0"/>
        <w:contextualSpacing/>
        <w:jc w:val="both"/>
        <w:textAlignment w:val="auto"/>
        <w:rPr>
          <w:rFonts w:ascii="Times New Roman" w:hAnsi="Times New Roman" w:cs="Times New Roman"/>
          <w:szCs w:val="24"/>
        </w:rPr>
      </w:pPr>
      <w:r w:rsidRPr="00320BF0">
        <w:rPr>
          <w:rFonts w:ascii="Times New Roman" w:hAnsi="Times New Roman" w:cs="Times New Roman"/>
          <w:szCs w:val="24"/>
        </w:rPr>
        <w:t>korony, pnie oraz korzenie drzew przewidzianych do zachowania należy zabezpieczyć zgodnie ze sztuką ogrodniczą, według wskazań i przy udziale nadzoru przyrodniczego; zakazuje się składowania urobku, kruszyw, materiałów budowlanych i odpadów w zasięgu koron ww. drzew,</w:t>
      </w:r>
    </w:p>
    <w:p w:rsidR="00320BF0" w:rsidRPr="00320BF0" w:rsidRDefault="00320BF0" w:rsidP="00320BF0">
      <w:pPr>
        <w:pStyle w:val="GPPOPIS"/>
        <w:spacing w:after="0"/>
        <w:ind w:left="720"/>
        <w:jc w:val="both"/>
        <w:rPr>
          <w:rFonts w:ascii="Times New Roman" w:hAnsi="Times New Roman" w:cs="Times New Roman"/>
          <w:sz w:val="24"/>
          <w:szCs w:val="24"/>
        </w:rPr>
      </w:pPr>
      <w:r w:rsidRPr="00320BF0">
        <w:rPr>
          <w:rFonts w:ascii="Times New Roman" w:hAnsi="Times New Roman" w:cs="Times New Roman"/>
          <w:i/>
          <w:iCs/>
          <w:sz w:val="24"/>
          <w:szCs w:val="24"/>
        </w:rPr>
        <w:t xml:space="preserve">Warunek spełniony. Drzewa do zachowania zostaną zabezpieczone i nie będą składowane żadne materiały w zasięgu ich koron. </w:t>
      </w:r>
    </w:p>
    <w:p w:rsidR="00320BF0" w:rsidRPr="00320BF0" w:rsidRDefault="00320BF0" w:rsidP="00320BF0">
      <w:pPr>
        <w:pStyle w:val="Akapitzlist"/>
        <w:widowControl/>
        <w:numPr>
          <w:ilvl w:val="0"/>
          <w:numId w:val="33"/>
        </w:numPr>
        <w:pBdr>
          <w:top w:val="none" w:sz="0" w:space="0" w:color="auto"/>
          <w:left w:val="none" w:sz="0" w:space="0" w:color="auto"/>
          <w:bottom w:val="none" w:sz="0" w:space="0" w:color="auto"/>
          <w:right w:val="none" w:sz="0" w:space="0" w:color="auto"/>
        </w:pBdr>
        <w:suppressAutoHyphens w:val="0"/>
        <w:contextualSpacing/>
        <w:jc w:val="both"/>
        <w:textAlignment w:val="auto"/>
        <w:rPr>
          <w:rFonts w:ascii="Times New Roman" w:hAnsi="Times New Roman" w:cs="Times New Roman"/>
          <w:szCs w:val="24"/>
        </w:rPr>
      </w:pPr>
      <w:r w:rsidRPr="00320BF0">
        <w:rPr>
          <w:rFonts w:ascii="Times New Roman" w:hAnsi="Times New Roman" w:cs="Times New Roman"/>
          <w:szCs w:val="24"/>
        </w:rPr>
        <w:t>na placu budowy stosować oświetlenie dające tzw. „ciepłe” widmo świetlne, np. lampy sodowe lub LED; lampy powinny bezwarunkowo posiadać szczelne obudowy,</w:t>
      </w:r>
    </w:p>
    <w:p w:rsidR="00320BF0" w:rsidRPr="00320BF0" w:rsidRDefault="00320BF0" w:rsidP="00320BF0">
      <w:pPr>
        <w:pStyle w:val="GPPOPIS"/>
        <w:spacing w:after="0"/>
        <w:ind w:left="720"/>
        <w:jc w:val="both"/>
        <w:rPr>
          <w:rFonts w:ascii="Times New Roman" w:hAnsi="Times New Roman" w:cs="Times New Roman"/>
          <w:sz w:val="24"/>
          <w:szCs w:val="24"/>
        </w:rPr>
      </w:pPr>
      <w:r w:rsidRPr="00320BF0">
        <w:rPr>
          <w:rFonts w:ascii="Times New Roman" w:hAnsi="Times New Roman" w:cs="Times New Roman"/>
          <w:i/>
          <w:iCs/>
          <w:sz w:val="24"/>
          <w:szCs w:val="24"/>
        </w:rPr>
        <w:lastRenderedPageBreak/>
        <w:t>Warunek spełniony. Na placu budowy będą stosowane lampy o szczelnych obudowach i ciepłym widmie świetlnym.</w:t>
      </w:r>
    </w:p>
    <w:p w:rsidR="00320BF0" w:rsidRPr="00320BF0" w:rsidRDefault="00320BF0" w:rsidP="00320BF0">
      <w:pPr>
        <w:pStyle w:val="Akapitzlist"/>
        <w:widowControl/>
        <w:numPr>
          <w:ilvl w:val="0"/>
          <w:numId w:val="33"/>
        </w:numPr>
        <w:pBdr>
          <w:top w:val="none" w:sz="0" w:space="0" w:color="auto"/>
          <w:left w:val="none" w:sz="0" w:space="0" w:color="auto"/>
          <w:bottom w:val="none" w:sz="0" w:space="0" w:color="auto"/>
          <w:right w:val="none" w:sz="0" w:space="0" w:color="auto"/>
        </w:pBdr>
        <w:suppressAutoHyphens w:val="0"/>
        <w:contextualSpacing/>
        <w:jc w:val="both"/>
        <w:textAlignment w:val="auto"/>
        <w:rPr>
          <w:rFonts w:ascii="Times New Roman" w:hAnsi="Times New Roman" w:cs="Times New Roman"/>
          <w:szCs w:val="24"/>
        </w:rPr>
      </w:pPr>
      <w:r w:rsidRPr="00320BF0">
        <w:rPr>
          <w:rFonts w:ascii="Times New Roman" w:hAnsi="Times New Roman" w:cs="Times New Roman"/>
          <w:szCs w:val="24"/>
        </w:rPr>
        <w:t>zdjętą urodzajną warstwę gleby zdeponować w pryzmach, zabezpieczyć przed przesuszeniem w czasie składowania i wykorzystać do rekultywacji terenu inwestycji po zakończeniu jej realizacji,</w:t>
      </w:r>
    </w:p>
    <w:p w:rsidR="00320BF0" w:rsidRPr="00320BF0" w:rsidRDefault="00320BF0" w:rsidP="00320BF0">
      <w:pPr>
        <w:pStyle w:val="GPPOPIS"/>
        <w:spacing w:after="0"/>
        <w:ind w:left="720"/>
        <w:jc w:val="both"/>
        <w:rPr>
          <w:rFonts w:ascii="Times New Roman" w:hAnsi="Times New Roman" w:cs="Times New Roman"/>
          <w:sz w:val="24"/>
          <w:szCs w:val="24"/>
        </w:rPr>
      </w:pPr>
      <w:r w:rsidRPr="00320BF0">
        <w:rPr>
          <w:rFonts w:ascii="Times New Roman" w:hAnsi="Times New Roman" w:cs="Times New Roman"/>
          <w:i/>
          <w:iCs/>
          <w:sz w:val="24"/>
          <w:szCs w:val="24"/>
        </w:rPr>
        <w:t>Warunek spełniony. Urodzajne gleby będą składowane w sposób zabezpieczony przed przesuszeniem i zostaną wykorzystane do rekultywacji na terenach przewidzianych na powierzchnie biologicznie czynne.</w:t>
      </w:r>
    </w:p>
    <w:p w:rsidR="00320BF0" w:rsidRPr="00320BF0" w:rsidRDefault="00320BF0" w:rsidP="00320BF0">
      <w:pPr>
        <w:pStyle w:val="Akapitzlist"/>
        <w:widowControl/>
        <w:numPr>
          <w:ilvl w:val="0"/>
          <w:numId w:val="33"/>
        </w:numPr>
        <w:pBdr>
          <w:top w:val="none" w:sz="0" w:space="0" w:color="auto"/>
          <w:left w:val="none" w:sz="0" w:space="0" w:color="auto"/>
          <w:bottom w:val="none" w:sz="0" w:space="0" w:color="auto"/>
          <w:right w:val="none" w:sz="0" w:space="0" w:color="auto"/>
        </w:pBdr>
        <w:suppressAutoHyphens w:val="0"/>
        <w:contextualSpacing/>
        <w:jc w:val="both"/>
        <w:textAlignment w:val="auto"/>
        <w:rPr>
          <w:rFonts w:ascii="Times New Roman" w:hAnsi="Times New Roman" w:cs="Times New Roman"/>
          <w:szCs w:val="24"/>
        </w:rPr>
      </w:pPr>
      <w:r w:rsidRPr="00320BF0">
        <w:rPr>
          <w:rFonts w:ascii="Times New Roman" w:hAnsi="Times New Roman" w:cs="Times New Roman"/>
          <w:szCs w:val="24"/>
        </w:rPr>
        <w:t>podczas budowy stosować sprawny technicznie sprzęt i urządzenia budowlane;</w:t>
      </w:r>
    </w:p>
    <w:p w:rsidR="00320BF0" w:rsidRPr="00320BF0" w:rsidRDefault="00320BF0" w:rsidP="00320BF0">
      <w:pPr>
        <w:pStyle w:val="GPPOPIS"/>
        <w:spacing w:after="0"/>
        <w:ind w:left="720"/>
        <w:jc w:val="both"/>
        <w:rPr>
          <w:rFonts w:ascii="Times New Roman" w:hAnsi="Times New Roman" w:cs="Times New Roman"/>
          <w:sz w:val="24"/>
          <w:szCs w:val="24"/>
        </w:rPr>
      </w:pPr>
      <w:r w:rsidRPr="00320BF0">
        <w:rPr>
          <w:rFonts w:ascii="Times New Roman" w:hAnsi="Times New Roman" w:cs="Times New Roman"/>
          <w:i/>
          <w:iCs/>
          <w:sz w:val="24"/>
          <w:szCs w:val="24"/>
        </w:rPr>
        <w:t>Warunek spełniony. Na placu budowy będzie stosowany sprawny sprzęt budowlany.</w:t>
      </w:r>
    </w:p>
    <w:p w:rsidR="00320BF0" w:rsidRPr="00320BF0" w:rsidRDefault="00320BF0" w:rsidP="00320BF0">
      <w:pPr>
        <w:pStyle w:val="Akapitzlist"/>
        <w:widowControl/>
        <w:numPr>
          <w:ilvl w:val="0"/>
          <w:numId w:val="33"/>
        </w:numPr>
        <w:pBdr>
          <w:top w:val="none" w:sz="0" w:space="0" w:color="auto"/>
          <w:left w:val="none" w:sz="0" w:space="0" w:color="auto"/>
          <w:bottom w:val="none" w:sz="0" w:space="0" w:color="auto"/>
          <w:right w:val="none" w:sz="0" w:space="0" w:color="auto"/>
        </w:pBdr>
        <w:suppressAutoHyphens w:val="0"/>
        <w:contextualSpacing/>
        <w:jc w:val="both"/>
        <w:textAlignment w:val="auto"/>
        <w:rPr>
          <w:rFonts w:ascii="Times New Roman" w:hAnsi="Times New Roman" w:cs="Times New Roman"/>
          <w:szCs w:val="24"/>
        </w:rPr>
      </w:pPr>
      <w:r w:rsidRPr="00320BF0">
        <w:rPr>
          <w:rFonts w:ascii="Times New Roman" w:hAnsi="Times New Roman" w:cs="Times New Roman"/>
          <w:szCs w:val="24"/>
        </w:rPr>
        <w:t>zaplecze budowy, a w szczególności miejsca postoju pojazdów i maszyn, utwardzić i zabezpieczyć przed przedostaniem się substancji ropopochodnych do gruntu i wód;</w:t>
      </w:r>
    </w:p>
    <w:p w:rsidR="00320BF0" w:rsidRPr="00320BF0" w:rsidRDefault="00320BF0" w:rsidP="00320BF0">
      <w:pPr>
        <w:pStyle w:val="GPPOPIS"/>
        <w:spacing w:after="0"/>
        <w:ind w:left="720"/>
        <w:jc w:val="both"/>
        <w:rPr>
          <w:rFonts w:ascii="Times New Roman" w:hAnsi="Times New Roman" w:cs="Times New Roman"/>
          <w:sz w:val="24"/>
          <w:szCs w:val="24"/>
        </w:rPr>
      </w:pPr>
      <w:r w:rsidRPr="00320BF0">
        <w:rPr>
          <w:rFonts w:ascii="Times New Roman" w:hAnsi="Times New Roman" w:cs="Times New Roman"/>
          <w:i/>
          <w:iCs/>
          <w:sz w:val="24"/>
          <w:szCs w:val="24"/>
        </w:rPr>
        <w:t>Warunek spełniony. Zaplecze budowy i miejsca postoju pojazdów i maszyn zostaną zabezpieczone przed przedostaniem się substancji ropopochodnych do gruntu i wód.</w:t>
      </w:r>
    </w:p>
    <w:p w:rsidR="00320BF0" w:rsidRPr="00320BF0" w:rsidRDefault="00320BF0" w:rsidP="00320BF0">
      <w:pPr>
        <w:pStyle w:val="Akapitzlist"/>
        <w:widowControl/>
        <w:numPr>
          <w:ilvl w:val="0"/>
          <w:numId w:val="33"/>
        </w:numPr>
        <w:pBdr>
          <w:top w:val="none" w:sz="0" w:space="0" w:color="auto"/>
          <w:left w:val="none" w:sz="0" w:space="0" w:color="auto"/>
          <w:bottom w:val="none" w:sz="0" w:space="0" w:color="auto"/>
          <w:right w:val="none" w:sz="0" w:space="0" w:color="auto"/>
        </w:pBdr>
        <w:suppressAutoHyphens w:val="0"/>
        <w:contextualSpacing/>
        <w:jc w:val="both"/>
        <w:textAlignment w:val="auto"/>
        <w:rPr>
          <w:rFonts w:ascii="Times New Roman" w:hAnsi="Times New Roman" w:cs="Times New Roman"/>
          <w:szCs w:val="24"/>
        </w:rPr>
      </w:pPr>
      <w:r w:rsidRPr="00320BF0">
        <w:rPr>
          <w:rFonts w:ascii="Times New Roman" w:hAnsi="Times New Roman" w:cs="Times New Roman"/>
          <w:szCs w:val="24"/>
        </w:rPr>
        <w:t>zaplecze budowy wyposażyć w materiały sorpcyjne umożliwiając szybkie usunięcie ewentualnych wycieków paliw;</w:t>
      </w:r>
    </w:p>
    <w:p w:rsidR="00320BF0" w:rsidRPr="00320BF0" w:rsidRDefault="00320BF0" w:rsidP="00320BF0">
      <w:pPr>
        <w:pStyle w:val="GPPOPIS"/>
        <w:spacing w:after="0"/>
        <w:ind w:left="720"/>
        <w:jc w:val="both"/>
        <w:rPr>
          <w:rFonts w:ascii="Times New Roman" w:hAnsi="Times New Roman" w:cs="Times New Roman"/>
          <w:sz w:val="24"/>
          <w:szCs w:val="24"/>
        </w:rPr>
      </w:pPr>
      <w:r w:rsidRPr="00320BF0">
        <w:rPr>
          <w:rFonts w:ascii="Times New Roman" w:hAnsi="Times New Roman" w:cs="Times New Roman"/>
          <w:i/>
          <w:iCs/>
          <w:sz w:val="24"/>
          <w:szCs w:val="24"/>
        </w:rPr>
        <w:t>Warunek spełniony. Zaplecze budowy zostanie wyposażone w materiały sorpcyjne umożliwiające szybkie usunięcie ewentualnych wycieków paliw..</w:t>
      </w:r>
    </w:p>
    <w:p w:rsidR="00320BF0" w:rsidRPr="00320BF0" w:rsidRDefault="00320BF0" w:rsidP="00320BF0">
      <w:pPr>
        <w:pStyle w:val="Akapitzlist"/>
        <w:widowControl/>
        <w:numPr>
          <w:ilvl w:val="0"/>
          <w:numId w:val="33"/>
        </w:numPr>
        <w:pBdr>
          <w:top w:val="none" w:sz="0" w:space="0" w:color="auto"/>
          <w:left w:val="none" w:sz="0" w:space="0" w:color="auto"/>
          <w:bottom w:val="none" w:sz="0" w:space="0" w:color="auto"/>
          <w:right w:val="none" w:sz="0" w:space="0" w:color="auto"/>
        </w:pBdr>
        <w:suppressAutoHyphens w:val="0"/>
        <w:contextualSpacing/>
        <w:jc w:val="both"/>
        <w:textAlignment w:val="auto"/>
        <w:rPr>
          <w:rFonts w:ascii="Times New Roman" w:hAnsi="Times New Roman" w:cs="Times New Roman"/>
          <w:szCs w:val="24"/>
        </w:rPr>
      </w:pPr>
      <w:r w:rsidRPr="00320BF0">
        <w:rPr>
          <w:rFonts w:ascii="Times New Roman" w:hAnsi="Times New Roman" w:cs="Times New Roman"/>
          <w:szCs w:val="24"/>
        </w:rPr>
        <w:t>udostępnić pracownikom dostęp do przenośnych urządzeń, a ścieki socjalno - bytowe gromadzić w szczelnych zbiornikach i zagospodarować zgodnie z umową z wyspecjalizowanym podmiotem;</w:t>
      </w:r>
    </w:p>
    <w:p w:rsidR="00320BF0" w:rsidRPr="00320BF0" w:rsidRDefault="00320BF0" w:rsidP="00320BF0">
      <w:pPr>
        <w:pStyle w:val="GPPOPIS"/>
        <w:spacing w:after="0"/>
        <w:ind w:left="720"/>
        <w:jc w:val="both"/>
        <w:rPr>
          <w:rFonts w:ascii="Times New Roman" w:hAnsi="Times New Roman" w:cs="Times New Roman"/>
          <w:sz w:val="24"/>
          <w:szCs w:val="24"/>
        </w:rPr>
      </w:pPr>
      <w:r w:rsidRPr="00320BF0">
        <w:rPr>
          <w:rFonts w:ascii="Times New Roman" w:hAnsi="Times New Roman" w:cs="Times New Roman"/>
          <w:i/>
          <w:iCs/>
          <w:sz w:val="24"/>
          <w:szCs w:val="24"/>
        </w:rPr>
        <w:t>Warunek spełniony. Zaplecze budowy zostanie wyposażone w przenośne ustępy, a gromadzone ścieki socjalno-bytowe będą odbierane przez wyspecjalizowaną firmę.</w:t>
      </w:r>
    </w:p>
    <w:p w:rsidR="00320BF0" w:rsidRPr="00320BF0" w:rsidRDefault="00320BF0" w:rsidP="00320BF0">
      <w:pPr>
        <w:pStyle w:val="Akapitzlist"/>
        <w:widowControl/>
        <w:numPr>
          <w:ilvl w:val="0"/>
          <w:numId w:val="33"/>
        </w:numPr>
        <w:pBdr>
          <w:top w:val="none" w:sz="0" w:space="0" w:color="auto"/>
          <w:left w:val="none" w:sz="0" w:space="0" w:color="auto"/>
          <w:bottom w:val="none" w:sz="0" w:space="0" w:color="auto"/>
          <w:right w:val="none" w:sz="0" w:space="0" w:color="auto"/>
        </w:pBdr>
        <w:suppressAutoHyphens w:val="0"/>
        <w:contextualSpacing/>
        <w:jc w:val="both"/>
        <w:textAlignment w:val="auto"/>
        <w:rPr>
          <w:rFonts w:ascii="Times New Roman" w:hAnsi="Times New Roman" w:cs="Times New Roman"/>
          <w:szCs w:val="24"/>
        </w:rPr>
      </w:pPr>
      <w:r w:rsidRPr="00320BF0">
        <w:rPr>
          <w:rFonts w:ascii="Times New Roman" w:hAnsi="Times New Roman" w:cs="Times New Roman"/>
          <w:szCs w:val="24"/>
        </w:rPr>
        <w:t xml:space="preserve">przygotować miejsca do selektywnej zbiórki odpadów i odpowiednio zabezpieczyć odpady przed wpływem czynników atmosferycznych, w sposób uniemożliwiający przedostanie się zanieczyszczeń (odcieków) do środowiska gruntowo- wodnego; </w:t>
      </w:r>
    </w:p>
    <w:p w:rsidR="00320BF0" w:rsidRPr="00320BF0" w:rsidRDefault="00320BF0" w:rsidP="00320BF0">
      <w:pPr>
        <w:pStyle w:val="GPPOPIS"/>
        <w:spacing w:after="0"/>
        <w:ind w:left="720"/>
        <w:jc w:val="both"/>
        <w:rPr>
          <w:rFonts w:ascii="Times New Roman" w:hAnsi="Times New Roman" w:cs="Times New Roman"/>
          <w:sz w:val="24"/>
          <w:szCs w:val="24"/>
        </w:rPr>
      </w:pPr>
      <w:r w:rsidRPr="00320BF0">
        <w:rPr>
          <w:rFonts w:ascii="Times New Roman" w:hAnsi="Times New Roman" w:cs="Times New Roman"/>
          <w:i/>
          <w:iCs/>
          <w:sz w:val="24"/>
          <w:szCs w:val="24"/>
        </w:rPr>
        <w:t>Warunek spełniony. Na placu budowy będzie stosowana selektywna zbiórka odpadów odpowiednio zabezpieczona przed przedostawaniem się zanieczyszczeń do gruntu i wód.</w:t>
      </w:r>
    </w:p>
    <w:p w:rsidR="00320BF0" w:rsidRPr="00320BF0" w:rsidRDefault="00320BF0" w:rsidP="00320BF0">
      <w:pPr>
        <w:pStyle w:val="Akapitzlist"/>
        <w:widowControl/>
        <w:numPr>
          <w:ilvl w:val="0"/>
          <w:numId w:val="33"/>
        </w:numPr>
        <w:pBdr>
          <w:top w:val="none" w:sz="0" w:space="0" w:color="auto"/>
          <w:left w:val="none" w:sz="0" w:space="0" w:color="auto"/>
          <w:bottom w:val="none" w:sz="0" w:space="0" w:color="auto"/>
          <w:right w:val="none" w:sz="0" w:space="0" w:color="auto"/>
        </w:pBdr>
        <w:suppressAutoHyphens w:val="0"/>
        <w:contextualSpacing/>
        <w:jc w:val="both"/>
        <w:textAlignment w:val="auto"/>
        <w:rPr>
          <w:rFonts w:ascii="Times New Roman" w:hAnsi="Times New Roman" w:cs="Times New Roman"/>
          <w:szCs w:val="24"/>
        </w:rPr>
      </w:pPr>
      <w:r w:rsidRPr="00320BF0">
        <w:rPr>
          <w:rFonts w:ascii="Times New Roman" w:hAnsi="Times New Roman" w:cs="Times New Roman"/>
          <w:szCs w:val="24"/>
        </w:rPr>
        <w:t>odpady niebezpieczne oraz inne niż niebezpieczne magazynować selektywnie w sposób zabezpieczający środowisko i przekazywać do odzysku lub unieszkodliwienia uprawnionym firmom;</w:t>
      </w:r>
    </w:p>
    <w:p w:rsidR="00320BF0" w:rsidRPr="00320BF0" w:rsidRDefault="00320BF0" w:rsidP="00320BF0">
      <w:pPr>
        <w:pStyle w:val="GPPOPIS"/>
        <w:spacing w:after="0"/>
        <w:ind w:left="720"/>
        <w:jc w:val="both"/>
        <w:rPr>
          <w:rFonts w:ascii="Times New Roman" w:hAnsi="Times New Roman" w:cs="Times New Roman"/>
          <w:sz w:val="24"/>
          <w:szCs w:val="24"/>
        </w:rPr>
      </w:pPr>
      <w:r w:rsidRPr="00320BF0">
        <w:rPr>
          <w:rFonts w:ascii="Times New Roman" w:hAnsi="Times New Roman" w:cs="Times New Roman"/>
          <w:i/>
          <w:iCs/>
          <w:sz w:val="24"/>
          <w:szCs w:val="24"/>
        </w:rPr>
        <w:t>Warunek spełniony. Na placu budowy będzie stosowana selektywna zbiórka odpadów odpowiednio w sposób zabezpieczający środowisko. Odpady będą odbierane przez wyspecjalizowane firmy.</w:t>
      </w:r>
    </w:p>
    <w:p w:rsidR="00320BF0" w:rsidRPr="00320BF0" w:rsidRDefault="00320BF0" w:rsidP="00320BF0">
      <w:pPr>
        <w:pStyle w:val="Akapitzlist"/>
        <w:widowControl/>
        <w:numPr>
          <w:ilvl w:val="0"/>
          <w:numId w:val="33"/>
        </w:numPr>
        <w:pBdr>
          <w:top w:val="none" w:sz="0" w:space="0" w:color="auto"/>
          <w:left w:val="none" w:sz="0" w:space="0" w:color="auto"/>
          <w:bottom w:val="none" w:sz="0" w:space="0" w:color="auto"/>
          <w:right w:val="none" w:sz="0" w:space="0" w:color="auto"/>
        </w:pBdr>
        <w:suppressAutoHyphens w:val="0"/>
        <w:contextualSpacing/>
        <w:jc w:val="both"/>
        <w:textAlignment w:val="auto"/>
        <w:rPr>
          <w:rFonts w:ascii="Times New Roman" w:hAnsi="Times New Roman" w:cs="Times New Roman"/>
          <w:szCs w:val="24"/>
        </w:rPr>
      </w:pPr>
      <w:r w:rsidRPr="00320BF0">
        <w:rPr>
          <w:rFonts w:ascii="Times New Roman" w:hAnsi="Times New Roman" w:cs="Times New Roman"/>
          <w:szCs w:val="24"/>
        </w:rPr>
        <w:t>roboty ziemne prowadzić w sposób maksymalnie ograniczający ingerencję w warstwy wodonośne;</w:t>
      </w:r>
    </w:p>
    <w:p w:rsidR="00320BF0" w:rsidRPr="00320BF0" w:rsidRDefault="00320BF0" w:rsidP="00320BF0">
      <w:pPr>
        <w:pStyle w:val="GPPOPIS"/>
        <w:spacing w:after="0"/>
        <w:ind w:left="720"/>
        <w:jc w:val="both"/>
        <w:rPr>
          <w:rFonts w:ascii="Times New Roman" w:hAnsi="Times New Roman" w:cs="Times New Roman"/>
          <w:sz w:val="24"/>
          <w:szCs w:val="24"/>
        </w:rPr>
      </w:pPr>
      <w:r w:rsidRPr="00320BF0">
        <w:rPr>
          <w:rFonts w:ascii="Times New Roman" w:hAnsi="Times New Roman" w:cs="Times New Roman"/>
          <w:i/>
          <w:iCs/>
          <w:sz w:val="24"/>
          <w:szCs w:val="24"/>
        </w:rPr>
        <w:t>Warunek spełniony. Roboty ziemne będą prowadzone w sposób maksymalnie ograniczający ingerencję w warstwy wodonośne.</w:t>
      </w:r>
    </w:p>
    <w:p w:rsidR="00320BF0" w:rsidRPr="00320BF0" w:rsidRDefault="00320BF0" w:rsidP="00320BF0">
      <w:pPr>
        <w:pStyle w:val="Akapitzlist"/>
        <w:widowControl/>
        <w:numPr>
          <w:ilvl w:val="0"/>
          <w:numId w:val="33"/>
        </w:numPr>
        <w:pBdr>
          <w:top w:val="none" w:sz="0" w:space="0" w:color="auto"/>
          <w:left w:val="none" w:sz="0" w:space="0" w:color="auto"/>
          <w:bottom w:val="none" w:sz="0" w:space="0" w:color="auto"/>
          <w:right w:val="none" w:sz="0" w:space="0" w:color="auto"/>
        </w:pBdr>
        <w:suppressAutoHyphens w:val="0"/>
        <w:contextualSpacing/>
        <w:jc w:val="both"/>
        <w:textAlignment w:val="auto"/>
        <w:rPr>
          <w:rFonts w:ascii="Times New Roman" w:hAnsi="Times New Roman" w:cs="Times New Roman"/>
          <w:szCs w:val="24"/>
        </w:rPr>
      </w:pPr>
      <w:r w:rsidRPr="00320BF0">
        <w:rPr>
          <w:rFonts w:ascii="Times New Roman" w:hAnsi="Times New Roman" w:cs="Times New Roman"/>
          <w:szCs w:val="24"/>
        </w:rPr>
        <w:t>zastosować igłofiltry w przypadku konieczności odwodnienia;</w:t>
      </w:r>
    </w:p>
    <w:p w:rsidR="00320BF0" w:rsidRPr="00320BF0" w:rsidRDefault="00320BF0" w:rsidP="00320BF0">
      <w:pPr>
        <w:pStyle w:val="GPPOPIS"/>
        <w:spacing w:after="0"/>
        <w:ind w:left="720"/>
        <w:jc w:val="both"/>
        <w:rPr>
          <w:rFonts w:ascii="Times New Roman" w:hAnsi="Times New Roman" w:cs="Times New Roman"/>
          <w:sz w:val="24"/>
          <w:szCs w:val="24"/>
        </w:rPr>
      </w:pPr>
      <w:r w:rsidRPr="00320BF0">
        <w:rPr>
          <w:rFonts w:ascii="Times New Roman" w:hAnsi="Times New Roman" w:cs="Times New Roman"/>
          <w:i/>
          <w:iCs/>
          <w:sz w:val="24"/>
          <w:szCs w:val="24"/>
        </w:rPr>
        <w:t>Warunek spełniony. W przypadku odwodnienia wykopów będą stosowane igłofiltry.</w:t>
      </w:r>
    </w:p>
    <w:p w:rsidR="00320BF0" w:rsidRPr="00320BF0" w:rsidRDefault="00320BF0" w:rsidP="00320BF0">
      <w:pPr>
        <w:pStyle w:val="Akapitzlist"/>
        <w:widowControl/>
        <w:numPr>
          <w:ilvl w:val="0"/>
          <w:numId w:val="33"/>
        </w:numPr>
        <w:pBdr>
          <w:top w:val="none" w:sz="0" w:space="0" w:color="auto"/>
          <w:left w:val="none" w:sz="0" w:space="0" w:color="auto"/>
          <w:bottom w:val="none" w:sz="0" w:space="0" w:color="auto"/>
          <w:right w:val="none" w:sz="0" w:space="0" w:color="auto"/>
        </w:pBdr>
        <w:suppressAutoHyphens w:val="0"/>
        <w:contextualSpacing/>
        <w:jc w:val="both"/>
        <w:textAlignment w:val="auto"/>
        <w:rPr>
          <w:rFonts w:ascii="Times New Roman" w:hAnsi="Times New Roman" w:cs="Times New Roman"/>
          <w:szCs w:val="24"/>
        </w:rPr>
      </w:pPr>
      <w:r w:rsidRPr="00320BF0">
        <w:rPr>
          <w:rFonts w:ascii="Times New Roman" w:hAnsi="Times New Roman" w:cs="Times New Roman"/>
          <w:szCs w:val="24"/>
        </w:rPr>
        <w:t>wodę z odwodnienia zagospodarować w obrębie przedsięwzięcia, a w przypadku braku takiej możliwości do najbliższego rowu lub cieku po dokonaniu zgłoszenia wodoprawnego albo wywozić z inwestycji za pomocą beczkowozów;</w:t>
      </w:r>
    </w:p>
    <w:p w:rsidR="00320BF0" w:rsidRPr="00320BF0" w:rsidRDefault="00320BF0" w:rsidP="00320BF0">
      <w:pPr>
        <w:pStyle w:val="GPPOPIS"/>
        <w:spacing w:after="0"/>
        <w:ind w:left="720"/>
        <w:jc w:val="both"/>
        <w:rPr>
          <w:rFonts w:ascii="Times New Roman" w:hAnsi="Times New Roman" w:cs="Times New Roman"/>
          <w:sz w:val="24"/>
          <w:szCs w:val="24"/>
        </w:rPr>
      </w:pPr>
      <w:r w:rsidRPr="00320BF0">
        <w:rPr>
          <w:rFonts w:ascii="Times New Roman" w:hAnsi="Times New Roman" w:cs="Times New Roman"/>
          <w:i/>
          <w:iCs/>
          <w:sz w:val="24"/>
          <w:szCs w:val="24"/>
        </w:rPr>
        <w:t>Warunek spełniony. Wody z odwodnienia wykopów będą zagospodarowane na terenie lub wywożone beczkowozami. Ewentualne odprowadzenie wody do rowu lub cieku będzie realizowane po dokonaniu zgłoszenia wodnoprawnego</w:t>
      </w:r>
    </w:p>
    <w:p w:rsidR="00320BF0" w:rsidRPr="00320BF0" w:rsidRDefault="00320BF0" w:rsidP="00320BF0">
      <w:pPr>
        <w:pStyle w:val="Akapitzlist"/>
        <w:widowControl/>
        <w:numPr>
          <w:ilvl w:val="0"/>
          <w:numId w:val="33"/>
        </w:numPr>
        <w:pBdr>
          <w:top w:val="none" w:sz="0" w:space="0" w:color="auto"/>
          <w:left w:val="none" w:sz="0" w:space="0" w:color="auto"/>
          <w:bottom w:val="none" w:sz="0" w:space="0" w:color="auto"/>
          <w:right w:val="none" w:sz="0" w:space="0" w:color="auto"/>
        </w:pBdr>
        <w:suppressAutoHyphens w:val="0"/>
        <w:contextualSpacing/>
        <w:jc w:val="both"/>
        <w:textAlignment w:val="auto"/>
        <w:rPr>
          <w:rFonts w:ascii="Times New Roman" w:hAnsi="Times New Roman" w:cs="Times New Roman"/>
          <w:szCs w:val="24"/>
        </w:rPr>
      </w:pPr>
      <w:r w:rsidRPr="00320BF0">
        <w:rPr>
          <w:rFonts w:ascii="Times New Roman" w:hAnsi="Times New Roman" w:cs="Times New Roman"/>
          <w:szCs w:val="24"/>
        </w:rPr>
        <w:t>na etapie realizacji wodę pobierać poprzez przyłącze do wodociągu gminnego lub w przypadku braku takiej możliwości z własnego ujęcia;</w:t>
      </w:r>
    </w:p>
    <w:p w:rsidR="00320BF0" w:rsidRPr="00320BF0" w:rsidRDefault="00320BF0" w:rsidP="00320BF0">
      <w:pPr>
        <w:pStyle w:val="GPPOPIS"/>
        <w:spacing w:after="0"/>
        <w:ind w:left="720"/>
        <w:jc w:val="both"/>
        <w:rPr>
          <w:rFonts w:ascii="Times New Roman" w:hAnsi="Times New Roman" w:cs="Times New Roman"/>
          <w:sz w:val="24"/>
          <w:szCs w:val="24"/>
        </w:rPr>
      </w:pPr>
      <w:r w:rsidRPr="00320BF0">
        <w:rPr>
          <w:rFonts w:ascii="Times New Roman" w:hAnsi="Times New Roman" w:cs="Times New Roman"/>
          <w:i/>
          <w:iCs/>
          <w:sz w:val="24"/>
          <w:szCs w:val="24"/>
        </w:rPr>
        <w:lastRenderedPageBreak/>
        <w:t>Warunek spełniony. Na etapie realizacji woda będzie pobierana z wodociągu.</w:t>
      </w:r>
    </w:p>
    <w:p w:rsidR="00320BF0" w:rsidRPr="00320BF0" w:rsidRDefault="00320BF0" w:rsidP="00320BF0">
      <w:pPr>
        <w:pStyle w:val="Akapitzlist"/>
        <w:widowControl/>
        <w:numPr>
          <w:ilvl w:val="0"/>
          <w:numId w:val="33"/>
        </w:numPr>
        <w:pBdr>
          <w:top w:val="none" w:sz="0" w:space="0" w:color="auto"/>
          <w:left w:val="none" w:sz="0" w:space="0" w:color="auto"/>
          <w:bottom w:val="none" w:sz="0" w:space="0" w:color="auto"/>
          <w:right w:val="none" w:sz="0" w:space="0" w:color="auto"/>
        </w:pBdr>
        <w:suppressAutoHyphens w:val="0"/>
        <w:contextualSpacing/>
        <w:jc w:val="both"/>
        <w:textAlignment w:val="auto"/>
        <w:rPr>
          <w:rFonts w:ascii="Times New Roman" w:hAnsi="Times New Roman" w:cs="Times New Roman"/>
          <w:szCs w:val="24"/>
        </w:rPr>
      </w:pPr>
      <w:r w:rsidRPr="00320BF0">
        <w:rPr>
          <w:rFonts w:ascii="Times New Roman" w:hAnsi="Times New Roman" w:cs="Times New Roman"/>
          <w:szCs w:val="24"/>
        </w:rPr>
        <w:t>na etapie eksploatacji wodę pobierać z gminnej sieci wodociągowej na podstawie umowy z gestorem sieci lub w przypadku braku takiej możliwości z własnego ujęcia;</w:t>
      </w:r>
    </w:p>
    <w:p w:rsidR="00320BF0" w:rsidRPr="00320BF0" w:rsidRDefault="00320BF0" w:rsidP="00320BF0">
      <w:pPr>
        <w:pStyle w:val="GPPOPIS"/>
        <w:spacing w:after="0"/>
        <w:ind w:left="720"/>
        <w:jc w:val="both"/>
        <w:rPr>
          <w:rFonts w:ascii="Times New Roman" w:hAnsi="Times New Roman" w:cs="Times New Roman"/>
          <w:sz w:val="24"/>
          <w:szCs w:val="24"/>
        </w:rPr>
      </w:pPr>
      <w:r w:rsidRPr="00320BF0">
        <w:rPr>
          <w:rFonts w:ascii="Times New Roman" w:hAnsi="Times New Roman" w:cs="Times New Roman"/>
          <w:i/>
          <w:iCs/>
          <w:sz w:val="24"/>
          <w:szCs w:val="24"/>
        </w:rPr>
        <w:t>Warunek spełniony. Na etapie eksploatacji przewidziane jest przyłączenie inwestycji do wodociągu poprzez istniejące przyłącze wodociągowe.</w:t>
      </w:r>
    </w:p>
    <w:p w:rsidR="00320BF0" w:rsidRPr="00320BF0" w:rsidRDefault="00320BF0" w:rsidP="00320BF0">
      <w:pPr>
        <w:pStyle w:val="Akapitzlist"/>
        <w:widowControl/>
        <w:numPr>
          <w:ilvl w:val="0"/>
          <w:numId w:val="33"/>
        </w:numPr>
        <w:pBdr>
          <w:top w:val="none" w:sz="0" w:space="0" w:color="auto"/>
          <w:left w:val="none" w:sz="0" w:space="0" w:color="auto"/>
          <w:bottom w:val="none" w:sz="0" w:space="0" w:color="auto"/>
          <w:right w:val="none" w:sz="0" w:space="0" w:color="auto"/>
        </w:pBdr>
        <w:suppressAutoHyphens w:val="0"/>
        <w:contextualSpacing/>
        <w:jc w:val="both"/>
        <w:textAlignment w:val="auto"/>
        <w:rPr>
          <w:rFonts w:ascii="Times New Roman" w:hAnsi="Times New Roman" w:cs="Times New Roman"/>
          <w:szCs w:val="24"/>
        </w:rPr>
      </w:pPr>
      <w:r w:rsidRPr="00320BF0">
        <w:rPr>
          <w:rFonts w:ascii="Times New Roman" w:hAnsi="Times New Roman" w:cs="Times New Roman"/>
          <w:szCs w:val="24"/>
        </w:rPr>
        <w:t>racjonalnie gospodarować wodą;</w:t>
      </w:r>
    </w:p>
    <w:p w:rsidR="00320BF0" w:rsidRPr="00320BF0" w:rsidRDefault="00320BF0" w:rsidP="00320BF0">
      <w:pPr>
        <w:pStyle w:val="GPPOPIS"/>
        <w:spacing w:after="0"/>
        <w:ind w:left="720"/>
        <w:jc w:val="both"/>
        <w:rPr>
          <w:rFonts w:ascii="Times New Roman" w:hAnsi="Times New Roman" w:cs="Times New Roman"/>
          <w:sz w:val="24"/>
          <w:szCs w:val="24"/>
        </w:rPr>
      </w:pPr>
      <w:r w:rsidRPr="00320BF0">
        <w:rPr>
          <w:rFonts w:ascii="Times New Roman" w:hAnsi="Times New Roman" w:cs="Times New Roman"/>
          <w:i/>
          <w:iCs/>
          <w:sz w:val="24"/>
          <w:szCs w:val="24"/>
        </w:rPr>
        <w:t>Warunek spełniony. Na wszystkich etapach inwestycji woda będzie gospodarowana w sposób racjonalny.</w:t>
      </w:r>
    </w:p>
    <w:p w:rsidR="00320BF0" w:rsidRPr="00320BF0" w:rsidRDefault="00320BF0" w:rsidP="00320BF0">
      <w:pPr>
        <w:pStyle w:val="Akapitzlist"/>
        <w:widowControl/>
        <w:numPr>
          <w:ilvl w:val="0"/>
          <w:numId w:val="33"/>
        </w:numPr>
        <w:pBdr>
          <w:top w:val="none" w:sz="0" w:space="0" w:color="auto"/>
          <w:left w:val="none" w:sz="0" w:space="0" w:color="auto"/>
          <w:bottom w:val="none" w:sz="0" w:space="0" w:color="auto"/>
          <w:right w:val="none" w:sz="0" w:space="0" w:color="auto"/>
        </w:pBdr>
        <w:suppressAutoHyphens w:val="0"/>
        <w:contextualSpacing/>
        <w:jc w:val="both"/>
        <w:textAlignment w:val="auto"/>
        <w:rPr>
          <w:rFonts w:ascii="Times New Roman" w:hAnsi="Times New Roman" w:cs="Times New Roman"/>
          <w:szCs w:val="24"/>
        </w:rPr>
      </w:pPr>
      <w:r w:rsidRPr="00320BF0">
        <w:rPr>
          <w:rFonts w:ascii="Times New Roman" w:hAnsi="Times New Roman" w:cs="Times New Roman"/>
          <w:szCs w:val="24"/>
        </w:rPr>
        <w:t>na etapie eksploatacji ścieki socjalno - bytowe odprowadzać do kanalizacji sanitarnej lub do czasu realizacji przyłącza do szczelnych zbiorników bezodpływowych;</w:t>
      </w:r>
    </w:p>
    <w:p w:rsidR="00320BF0" w:rsidRPr="00320BF0" w:rsidRDefault="00320BF0" w:rsidP="00320BF0">
      <w:pPr>
        <w:pStyle w:val="GPPOPIS"/>
        <w:spacing w:after="0"/>
        <w:ind w:left="720"/>
        <w:jc w:val="both"/>
        <w:rPr>
          <w:rFonts w:ascii="Times New Roman" w:hAnsi="Times New Roman" w:cs="Times New Roman"/>
          <w:sz w:val="24"/>
          <w:szCs w:val="24"/>
        </w:rPr>
      </w:pPr>
      <w:r w:rsidRPr="00320BF0">
        <w:rPr>
          <w:rFonts w:ascii="Times New Roman" w:hAnsi="Times New Roman" w:cs="Times New Roman"/>
          <w:i/>
          <w:iCs/>
          <w:sz w:val="24"/>
          <w:szCs w:val="24"/>
        </w:rPr>
        <w:t>Warunek spełniony. Na etapie eksploatacji, do czasu możliwości realizacji przyłącza kanalizacji sanitarnej, ścieki socjalno-bytowe gromadzone będą w szczelnych zbiornikach bezodpływowych-szambach.</w:t>
      </w:r>
    </w:p>
    <w:p w:rsidR="00320BF0" w:rsidRPr="00320BF0" w:rsidRDefault="00320BF0" w:rsidP="00320BF0">
      <w:pPr>
        <w:pStyle w:val="Akapitzlist"/>
        <w:widowControl/>
        <w:numPr>
          <w:ilvl w:val="0"/>
          <w:numId w:val="33"/>
        </w:numPr>
        <w:pBdr>
          <w:top w:val="none" w:sz="0" w:space="0" w:color="auto"/>
          <w:left w:val="none" w:sz="0" w:space="0" w:color="auto"/>
          <w:bottom w:val="none" w:sz="0" w:space="0" w:color="auto"/>
          <w:right w:val="none" w:sz="0" w:space="0" w:color="auto"/>
        </w:pBdr>
        <w:suppressAutoHyphens w:val="0"/>
        <w:contextualSpacing/>
        <w:jc w:val="both"/>
        <w:textAlignment w:val="auto"/>
        <w:rPr>
          <w:rFonts w:ascii="Times New Roman" w:hAnsi="Times New Roman" w:cs="Times New Roman"/>
          <w:szCs w:val="24"/>
        </w:rPr>
      </w:pPr>
      <w:r w:rsidRPr="00320BF0">
        <w:rPr>
          <w:rFonts w:ascii="Times New Roman" w:hAnsi="Times New Roman" w:cs="Times New Roman"/>
          <w:szCs w:val="24"/>
        </w:rPr>
        <w:t>zaprojektować system retencjonowania wód, gwarantujący przechwycenie deszczu nawalnego o natężeniu 150 l / sek / ha terenu w czasie nie krótszym niż 15 min, przy uwzględnieniu współczynnika spływu f=1,0 bez względu na rodzaj powierzchni dla całego terenu inwestycji, z wyłączeniem powierzchni istniejącego zbiornika otwartego;</w:t>
      </w:r>
    </w:p>
    <w:p w:rsidR="00320BF0" w:rsidRPr="00320BF0" w:rsidRDefault="00320BF0" w:rsidP="00320BF0">
      <w:pPr>
        <w:pStyle w:val="GPPOPIS"/>
        <w:spacing w:after="0"/>
        <w:ind w:left="720"/>
        <w:jc w:val="both"/>
        <w:rPr>
          <w:rFonts w:ascii="Times New Roman" w:hAnsi="Times New Roman" w:cs="Times New Roman"/>
          <w:sz w:val="24"/>
          <w:szCs w:val="24"/>
        </w:rPr>
      </w:pPr>
      <w:r w:rsidRPr="00320BF0">
        <w:rPr>
          <w:rFonts w:ascii="Times New Roman" w:hAnsi="Times New Roman" w:cs="Times New Roman"/>
          <w:i/>
          <w:iCs/>
          <w:sz w:val="24"/>
          <w:szCs w:val="24"/>
        </w:rPr>
        <w:t>Warunek spełniony. Wody opadowe będą retencjonowane w zbiornikach rurowych i szczelnym zbiorniku otwartym. Przy wskazanych parametrach dla terenu inwestycji o powierzchni wynoszącej 42 293m</w:t>
      </w:r>
      <w:r w:rsidRPr="00320BF0">
        <w:rPr>
          <w:rFonts w:ascii="Times New Roman" w:hAnsi="Times New Roman" w:cs="Times New Roman"/>
          <w:i/>
          <w:iCs/>
          <w:sz w:val="24"/>
          <w:szCs w:val="24"/>
          <w:vertAlign w:val="superscript"/>
        </w:rPr>
        <w:t>2</w:t>
      </w:r>
      <w:r w:rsidRPr="00320BF0">
        <w:rPr>
          <w:rFonts w:ascii="Times New Roman" w:hAnsi="Times New Roman" w:cs="Times New Roman"/>
          <w:i/>
          <w:iCs/>
          <w:sz w:val="24"/>
          <w:szCs w:val="24"/>
        </w:rPr>
        <w:t xml:space="preserve"> wymagana jest pojemość zbiornika wynosząca 570m</w:t>
      </w:r>
      <w:r w:rsidRPr="00320BF0">
        <w:rPr>
          <w:rFonts w:ascii="Times New Roman" w:hAnsi="Times New Roman" w:cs="Times New Roman"/>
          <w:i/>
          <w:iCs/>
          <w:sz w:val="24"/>
          <w:szCs w:val="24"/>
          <w:vertAlign w:val="superscript"/>
        </w:rPr>
        <w:t>3</w:t>
      </w:r>
      <w:r w:rsidRPr="00320BF0">
        <w:rPr>
          <w:rFonts w:ascii="Times New Roman" w:hAnsi="Times New Roman" w:cs="Times New Roman"/>
          <w:i/>
          <w:iCs/>
          <w:sz w:val="24"/>
          <w:szCs w:val="24"/>
        </w:rPr>
        <w:t>. W projekcie przewidziano zbiorniki retencyjne o łącznej pojemności 2260m</w:t>
      </w:r>
      <w:r w:rsidRPr="00320BF0">
        <w:rPr>
          <w:rFonts w:ascii="Times New Roman" w:hAnsi="Times New Roman" w:cs="Times New Roman"/>
          <w:i/>
          <w:iCs/>
          <w:sz w:val="24"/>
          <w:szCs w:val="24"/>
          <w:vertAlign w:val="superscript"/>
        </w:rPr>
        <w:t>3</w:t>
      </w:r>
      <w:r w:rsidRPr="00320BF0">
        <w:rPr>
          <w:rFonts w:ascii="Times New Roman" w:hAnsi="Times New Roman" w:cs="Times New Roman"/>
          <w:i/>
          <w:iCs/>
          <w:sz w:val="24"/>
          <w:szCs w:val="24"/>
        </w:rPr>
        <w:t>.</w:t>
      </w:r>
    </w:p>
    <w:p w:rsidR="00320BF0" w:rsidRPr="00320BF0" w:rsidRDefault="00320BF0" w:rsidP="00320BF0">
      <w:pPr>
        <w:pStyle w:val="Akapitzlist"/>
        <w:widowControl/>
        <w:numPr>
          <w:ilvl w:val="0"/>
          <w:numId w:val="33"/>
        </w:numPr>
        <w:pBdr>
          <w:top w:val="none" w:sz="0" w:space="0" w:color="auto"/>
          <w:left w:val="none" w:sz="0" w:space="0" w:color="auto"/>
          <w:bottom w:val="none" w:sz="0" w:space="0" w:color="auto"/>
          <w:right w:val="none" w:sz="0" w:space="0" w:color="auto"/>
        </w:pBdr>
        <w:suppressAutoHyphens w:val="0"/>
        <w:contextualSpacing/>
        <w:jc w:val="both"/>
        <w:textAlignment w:val="auto"/>
        <w:rPr>
          <w:rFonts w:ascii="Times New Roman" w:hAnsi="Times New Roman" w:cs="Times New Roman"/>
          <w:szCs w:val="24"/>
        </w:rPr>
      </w:pPr>
      <w:r w:rsidRPr="00320BF0">
        <w:rPr>
          <w:rFonts w:ascii="Times New Roman" w:hAnsi="Times New Roman" w:cs="Times New Roman"/>
          <w:szCs w:val="24"/>
        </w:rPr>
        <w:t>zaprojektowany system powinien gwarantować odbudowę retencji w czasie nie dłuższym niż 48h;</w:t>
      </w:r>
    </w:p>
    <w:p w:rsidR="00320BF0" w:rsidRPr="00320BF0" w:rsidRDefault="00320BF0" w:rsidP="00320BF0">
      <w:pPr>
        <w:pStyle w:val="GPPOPIS"/>
        <w:spacing w:after="0"/>
        <w:ind w:left="720"/>
        <w:jc w:val="both"/>
        <w:rPr>
          <w:rFonts w:ascii="Times New Roman" w:hAnsi="Times New Roman" w:cs="Times New Roman"/>
          <w:sz w:val="24"/>
          <w:szCs w:val="24"/>
        </w:rPr>
      </w:pPr>
      <w:r w:rsidRPr="00320BF0">
        <w:rPr>
          <w:rFonts w:ascii="Times New Roman" w:hAnsi="Times New Roman" w:cs="Times New Roman"/>
          <w:i/>
          <w:iCs/>
          <w:sz w:val="24"/>
          <w:szCs w:val="24"/>
        </w:rPr>
        <w:t>Warunek spełniony. Wymagana jest pojemość zbiornika wynosząca 570m</w:t>
      </w:r>
      <w:r w:rsidRPr="00320BF0">
        <w:rPr>
          <w:rFonts w:ascii="Times New Roman" w:hAnsi="Times New Roman" w:cs="Times New Roman"/>
          <w:i/>
          <w:iCs/>
          <w:sz w:val="24"/>
          <w:szCs w:val="24"/>
          <w:vertAlign w:val="superscript"/>
        </w:rPr>
        <w:t>3</w:t>
      </w:r>
      <w:r w:rsidRPr="00320BF0">
        <w:rPr>
          <w:rFonts w:ascii="Times New Roman" w:hAnsi="Times New Roman" w:cs="Times New Roman"/>
          <w:i/>
          <w:iCs/>
          <w:sz w:val="24"/>
          <w:szCs w:val="24"/>
        </w:rPr>
        <w:t>. W projekcie przewidziano zbiorniki retencyjne o łącznej pojemności 2260m</w:t>
      </w:r>
      <w:r w:rsidRPr="00320BF0">
        <w:rPr>
          <w:rFonts w:ascii="Times New Roman" w:hAnsi="Times New Roman" w:cs="Times New Roman"/>
          <w:i/>
          <w:iCs/>
          <w:sz w:val="24"/>
          <w:szCs w:val="24"/>
          <w:vertAlign w:val="superscript"/>
        </w:rPr>
        <w:t>3</w:t>
      </w:r>
      <w:r w:rsidRPr="00320BF0">
        <w:rPr>
          <w:rFonts w:ascii="Times New Roman" w:hAnsi="Times New Roman" w:cs="Times New Roman"/>
          <w:i/>
          <w:iCs/>
          <w:sz w:val="24"/>
          <w:szCs w:val="24"/>
        </w:rPr>
        <w:t xml:space="preserve"> co stanowi blisko czterokrotność wymaganej retencji. Oczyszczone wody ze zbiornika otwartego będą usuwane poprzez odparowywanie i zużywane do podlewania zieleni.</w:t>
      </w:r>
    </w:p>
    <w:p w:rsidR="00320BF0" w:rsidRPr="00320BF0" w:rsidRDefault="00320BF0" w:rsidP="00320BF0">
      <w:pPr>
        <w:pStyle w:val="Akapitzlist"/>
        <w:widowControl/>
        <w:numPr>
          <w:ilvl w:val="0"/>
          <w:numId w:val="33"/>
        </w:numPr>
        <w:pBdr>
          <w:top w:val="none" w:sz="0" w:space="0" w:color="auto"/>
          <w:left w:val="none" w:sz="0" w:space="0" w:color="auto"/>
          <w:bottom w:val="none" w:sz="0" w:space="0" w:color="auto"/>
          <w:right w:val="none" w:sz="0" w:space="0" w:color="auto"/>
        </w:pBdr>
        <w:suppressAutoHyphens w:val="0"/>
        <w:contextualSpacing/>
        <w:jc w:val="both"/>
        <w:textAlignment w:val="auto"/>
        <w:rPr>
          <w:rFonts w:ascii="Times New Roman" w:hAnsi="Times New Roman" w:cs="Times New Roman"/>
          <w:szCs w:val="24"/>
        </w:rPr>
      </w:pPr>
      <w:r w:rsidRPr="00320BF0">
        <w:rPr>
          <w:rFonts w:ascii="Times New Roman" w:hAnsi="Times New Roman" w:cs="Times New Roman"/>
          <w:szCs w:val="24"/>
        </w:rPr>
        <w:t>dopuszcza się zrzut wód deszczowych do Kanału Piaseczyńskiego po ich uprzednim zretencjonowaniu, w ilości nie większej niż 3,5l / sek.;</w:t>
      </w:r>
    </w:p>
    <w:p w:rsidR="00320BF0" w:rsidRPr="00320BF0" w:rsidRDefault="00320BF0" w:rsidP="00320BF0">
      <w:pPr>
        <w:pStyle w:val="GPPOPIS"/>
        <w:spacing w:after="0"/>
        <w:ind w:left="720"/>
        <w:jc w:val="both"/>
        <w:rPr>
          <w:rFonts w:ascii="Times New Roman" w:hAnsi="Times New Roman" w:cs="Times New Roman"/>
          <w:i/>
          <w:iCs/>
          <w:sz w:val="24"/>
          <w:szCs w:val="24"/>
        </w:rPr>
      </w:pPr>
      <w:r w:rsidRPr="00320BF0">
        <w:rPr>
          <w:rFonts w:ascii="Times New Roman" w:hAnsi="Times New Roman" w:cs="Times New Roman"/>
          <w:i/>
          <w:iCs/>
          <w:sz w:val="24"/>
          <w:szCs w:val="24"/>
        </w:rPr>
        <w:t xml:space="preserve">Nie dotyczy. Obecnie nie przewiduje się zrzutu wód. </w:t>
      </w:r>
    </w:p>
    <w:p w:rsidR="00320BF0" w:rsidRPr="00320BF0" w:rsidRDefault="00320BF0" w:rsidP="00320BF0">
      <w:pPr>
        <w:pStyle w:val="Akapitzlist"/>
        <w:widowControl/>
        <w:numPr>
          <w:ilvl w:val="0"/>
          <w:numId w:val="33"/>
        </w:numPr>
        <w:pBdr>
          <w:top w:val="none" w:sz="0" w:space="0" w:color="auto"/>
          <w:left w:val="none" w:sz="0" w:space="0" w:color="auto"/>
          <w:bottom w:val="none" w:sz="0" w:space="0" w:color="auto"/>
          <w:right w:val="none" w:sz="0" w:space="0" w:color="auto"/>
        </w:pBdr>
        <w:suppressAutoHyphens w:val="0"/>
        <w:spacing w:afterAutospacing="1"/>
        <w:contextualSpacing/>
        <w:jc w:val="both"/>
        <w:textAlignment w:val="auto"/>
        <w:rPr>
          <w:rFonts w:ascii="Times New Roman" w:hAnsi="Times New Roman" w:cs="Times New Roman"/>
          <w:i/>
          <w:iCs/>
          <w:szCs w:val="24"/>
        </w:rPr>
      </w:pPr>
      <w:r w:rsidRPr="00320BF0">
        <w:rPr>
          <w:rFonts w:ascii="Times New Roman" w:hAnsi="Times New Roman" w:cs="Times New Roman"/>
          <w:szCs w:val="24"/>
        </w:rPr>
        <w:t>wody opadowe i roztopowe odprowadzone z systemu zagospodarowania wód muszą spełniać warunki określone w Rozporządzeniu Ministra Gospodarki i Żeglugi Śródlądowej z dnia 12 lipca 2019 r. (Dz. U. z 2019 r., poz.1311);</w:t>
      </w:r>
    </w:p>
    <w:p w:rsidR="00320BF0" w:rsidRPr="00320BF0" w:rsidRDefault="00320BF0" w:rsidP="00320BF0">
      <w:pPr>
        <w:pStyle w:val="Akapitzlist"/>
        <w:spacing w:afterAutospacing="1"/>
        <w:jc w:val="both"/>
        <w:rPr>
          <w:rFonts w:ascii="Times New Roman" w:hAnsi="Times New Roman" w:cs="Times New Roman"/>
          <w:i/>
          <w:iCs/>
          <w:szCs w:val="24"/>
        </w:rPr>
      </w:pPr>
      <w:r w:rsidRPr="00320BF0">
        <w:rPr>
          <w:rFonts w:ascii="Times New Roman" w:hAnsi="Times New Roman" w:cs="Times New Roman"/>
          <w:i/>
          <w:iCs/>
          <w:szCs w:val="24"/>
        </w:rPr>
        <w:t xml:space="preserve">Nie dotyczy. Obecnie nie przewiduje się zrzutu wód. </w:t>
      </w:r>
    </w:p>
    <w:p w:rsidR="00320BF0" w:rsidRPr="00320BF0" w:rsidRDefault="00320BF0" w:rsidP="00320BF0">
      <w:pPr>
        <w:pStyle w:val="Akapitzlist"/>
        <w:widowControl/>
        <w:numPr>
          <w:ilvl w:val="0"/>
          <w:numId w:val="33"/>
        </w:numPr>
        <w:pBdr>
          <w:top w:val="none" w:sz="0" w:space="0" w:color="auto"/>
          <w:left w:val="none" w:sz="0" w:space="0" w:color="auto"/>
          <w:bottom w:val="none" w:sz="0" w:space="0" w:color="auto"/>
          <w:right w:val="none" w:sz="0" w:space="0" w:color="auto"/>
        </w:pBdr>
        <w:suppressAutoHyphens w:val="0"/>
        <w:contextualSpacing/>
        <w:jc w:val="both"/>
        <w:textAlignment w:val="auto"/>
        <w:rPr>
          <w:rFonts w:ascii="Times New Roman" w:hAnsi="Times New Roman" w:cs="Times New Roman"/>
          <w:szCs w:val="24"/>
        </w:rPr>
      </w:pPr>
      <w:r w:rsidRPr="00320BF0">
        <w:rPr>
          <w:rFonts w:ascii="Times New Roman" w:hAnsi="Times New Roman" w:cs="Times New Roman"/>
          <w:szCs w:val="24"/>
        </w:rPr>
        <w:t>wody opadowe muszą zostać zagospodarowane na terenie własnym inwestora, w sposób niepowodujący zalewania terenów sąsiednich;</w:t>
      </w:r>
    </w:p>
    <w:p w:rsidR="00320BF0" w:rsidRPr="00320BF0" w:rsidRDefault="00320BF0" w:rsidP="00320BF0">
      <w:pPr>
        <w:pStyle w:val="GPPOPIS"/>
        <w:spacing w:after="0"/>
        <w:ind w:left="720"/>
        <w:jc w:val="both"/>
        <w:rPr>
          <w:rFonts w:ascii="Times New Roman" w:hAnsi="Times New Roman" w:cs="Times New Roman"/>
          <w:sz w:val="24"/>
          <w:szCs w:val="24"/>
        </w:rPr>
      </w:pPr>
      <w:r w:rsidRPr="00320BF0">
        <w:rPr>
          <w:rFonts w:ascii="Times New Roman" w:hAnsi="Times New Roman" w:cs="Times New Roman"/>
          <w:i/>
          <w:iCs/>
          <w:sz w:val="24"/>
          <w:szCs w:val="24"/>
        </w:rPr>
        <w:t>Warunek spełniony. Wody opadowe z terenów utwardzonych i zabudowanych będą zbierane poprzez instalację kanalizacji deszczowej i gromadzone w zbiornikach retencyjnych. Przy granicach nieruchomości przewidziano kontrspadki zabezpieczające przed ewentualnym spływem wód opadowych lub roztopowych z terenów biologicznie czynnych na działki sąsiednie.</w:t>
      </w:r>
    </w:p>
    <w:p w:rsidR="00320BF0" w:rsidRPr="00320BF0" w:rsidRDefault="00320BF0" w:rsidP="00320BF0">
      <w:pPr>
        <w:pStyle w:val="Akapitzlist"/>
        <w:widowControl/>
        <w:numPr>
          <w:ilvl w:val="0"/>
          <w:numId w:val="33"/>
        </w:numPr>
        <w:pBdr>
          <w:top w:val="none" w:sz="0" w:space="0" w:color="auto"/>
          <w:left w:val="none" w:sz="0" w:space="0" w:color="auto"/>
          <w:bottom w:val="none" w:sz="0" w:space="0" w:color="auto"/>
          <w:right w:val="none" w:sz="0" w:space="0" w:color="auto"/>
        </w:pBdr>
        <w:suppressAutoHyphens w:val="0"/>
        <w:contextualSpacing/>
        <w:jc w:val="both"/>
        <w:textAlignment w:val="auto"/>
        <w:rPr>
          <w:rFonts w:ascii="Times New Roman" w:hAnsi="Times New Roman" w:cs="Times New Roman"/>
          <w:szCs w:val="24"/>
        </w:rPr>
      </w:pPr>
      <w:r w:rsidRPr="00320BF0">
        <w:rPr>
          <w:rFonts w:ascii="Times New Roman" w:hAnsi="Times New Roman" w:cs="Times New Roman"/>
          <w:szCs w:val="24"/>
        </w:rPr>
        <w:t>wody opadowe i roztopowe z terenów utwardzonych podczyszczać w separatorach substancji ropopochodnych;</w:t>
      </w:r>
    </w:p>
    <w:p w:rsidR="00320BF0" w:rsidRPr="00320BF0" w:rsidRDefault="00320BF0" w:rsidP="00320BF0">
      <w:pPr>
        <w:pStyle w:val="GPPOPIS"/>
        <w:spacing w:after="0"/>
        <w:ind w:left="720"/>
        <w:jc w:val="both"/>
        <w:rPr>
          <w:rFonts w:ascii="Times New Roman" w:hAnsi="Times New Roman" w:cs="Times New Roman"/>
          <w:sz w:val="24"/>
          <w:szCs w:val="24"/>
        </w:rPr>
      </w:pPr>
      <w:r w:rsidRPr="00320BF0">
        <w:rPr>
          <w:rFonts w:ascii="Times New Roman" w:hAnsi="Times New Roman" w:cs="Times New Roman"/>
          <w:i/>
          <w:iCs/>
          <w:sz w:val="24"/>
          <w:szCs w:val="24"/>
        </w:rPr>
        <w:t>Warunek spełniony. Wody opadowe i roztopowe przed retencjonowaniem w zbiorniku otwartym będą podczyszczane w separatorze substancji ropopochodnych..</w:t>
      </w:r>
    </w:p>
    <w:p w:rsidR="00320BF0" w:rsidRPr="00320BF0" w:rsidRDefault="00320BF0" w:rsidP="00320BF0">
      <w:pPr>
        <w:pStyle w:val="Akapitzlist"/>
        <w:widowControl/>
        <w:numPr>
          <w:ilvl w:val="0"/>
          <w:numId w:val="33"/>
        </w:numPr>
        <w:pBdr>
          <w:top w:val="none" w:sz="0" w:space="0" w:color="auto"/>
          <w:left w:val="none" w:sz="0" w:space="0" w:color="auto"/>
          <w:bottom w:val="none" w:sz="0" w:space="0" w:color="auto"/>
          <w:right w:val="none" w:sz="0" w:space="0" w:color="auto"/>
        </w:pBdr>
        <w:suppressAutoHyphens w:val="0"/>
        <w:contextualSpacing/>
        <w:jc w:val="both"/>
        <w:textAlignment w:val="auto"/>
        <w:rPr>
          <w:rFonts w:ascii="Times New Roman" w:hAnsi="Times New Roman" w:cs="Times New Roman"/>
          <w:szCs w:val="24"/>
        </w:rPr>
      </w:pPr>
      <w:r w:rsidRPr="00320BF0">
        <w:rPr>
          <w:rFonts w:ascii="Times New Roman" w:hAnsi="Times New Roman" w:cs="Times New Roman"/>
          <w:szCs w:val="24"/>
        </w:rPr>
        <w:t>konserwować urządzenia podczyszczające poprzez zapewnienie serwisu ze strony specjalistycznych i uprawnionych firm.</w:t>
      </w:r>
    </w:p>
    <w:p w:rsidR="00320BF0" w:rsidRPr="00320BF0" w:rsidRDefault="00320BF0" w:rsidP="00320BF0">
      <w:pPr>
        <w:pStyle w:val="GPPOPIS"/>
        <w:spacing w:after="0"/>
        <w:ind w:left="720"/>
        <w:jc w:val="both"/>
        <w:rPr>
          <w:rFonts w:ascii="Times New Roman" w:hAnsi="Times New Roman" w:cs="Times New Roman"/>
          <w:sz w:val="24"/>
          <w:szCs w:val="24"/>
        </w:rPr>
      </w:pPr>
      <w:r w:rsidRPr="00320BF0">
        <w:rPr>
          <w:rFonts w:ascii="Times New Roman" w:hAnsi="Times New Roman" w:cs="Times New Roman"/>
          <w:i/>
          <w:iCs/>
          <w:sz w:val="24"/>
          <w:szCs w:val="24"/>
        </w:rPr>
        <w:lastRenderedPageBreak/>
        <w:t>Warunek spełniony. Urządzenia podczyszczające będą serwisowane przez wykwalifikowane firmy.</w:t>
      </w:r>
    </w:p>
    <w:p w:rsidR="00B51560" w:rsidRPr="004C626C" w:rsidRDefault="00B51560" w:rsidP="00B51560">
      <w:pPr>
        <w:pStyle w:val="Standard"/>
        <w:ind w:left="720"/>
        <w:jc w:val="both"/>
      </w:pPr>
    </w:p>
    <w:p w:rsidR="00250597" w:rsidRPr="0089326F" w:rsidRDefault="00250597">
      <w:pPr>
        <w:tabs>
          <w:tab w:val="left" w:pos="568"/>
        </w:tabs>
        <w:overflowPunct w:val="0"/>
        <w:autoSpaceDE w:val="0"/>
        <w:jc w:val="both"/>
        <w:rPr>
          <w:color w:val="92D050"/>
        </w:rPr>
      </w:pPr>
    </w:p>
    <w:p w:rsidR="00576BD2" w:rsidRPr="00706247" w:rsidRDefault="00576BD2">
      <w:pPr>
        <w:ind w:firstLine="708"/>
        <w:jc w:val="both"/>
      </w:pPr>
      <w:r w:rsidRPr="0089326F">
        <w:t>Obszar oddziaływania obiektu, o którym mowa w art. 28 ust. 2 us</w:t>
      </w:r>
      <w:r w:rsidRPr="0089326F">
        <w:softHyphen/>
        <w:t xml:space="preserve">tawy - Prawo budowlane obejmuje nieruchomości </w:t>
      </w:r>
      <w:r w:rsidR="00376A89">
        <w:rPr>
          <w:rStyle w:val="Domylnaczcionkaakapitu2"/>
        </w:rPr>
        <w:t>nr ew.</w:t>
      </w:r>
      <w:r w:rsidR="003A363C">
        <w:rPr>
          <w:rStyle w:val="Domylnaczcionkaakapitu2"/>
        </w:rPr>
        <w:t xml:space="preserve"> </w:t>
      </w:r>
      <w:r w:rsidR="003A363C">
        <w:rPr>
          <w:color w:val="000000"/>
        </w:rPr>
        <w:t>135/2, 136/2, 137, 138, 139, 140</w:t>
      </w:r>
      <w:r w:rsidR="003A363C">
        <w:rPr>
          <w:rStyle w:val="Domylnaczcionkaakapitu2"/>
        </w:rPr>
        <w:t xml:space="preserve"> </w:t>
      </w:r>
      <w:r w:rsidRPr="00706247">
        <w:rPr>
          <w:rStyle w:val="Domylnaczcionkaakapitu2"/>
        </w:rPr>
        <w:t xml:space="preserve">, </w:t>
      </w:r>
      <w:r w:rsidR="003F70FB">
        <w:rPr>
          <w:rStyle w:val="Domylnaczcionkaakapitu2"/>
        </w:rPr>
        <w:t xml:space="preserve">w obrębie ew. </w:t>
      </w:r>
      <w:r w:rsidR="003A363C">
        <w:rPr>
          <w:rStyle w:val="Domylnaczcionkaakapitu2"/>
        </w:rPr>
        <w:t>0028 Wilcza Góra</w:t>
      </w:r>
      <w:r w:rsidR="003F70FB">
        <w:rPr>
          <w:rStyle w:val="Domylnaczcionkaakapitu2"/>
        </w:rPr>
        <w:t>,</w:t>
      </w:r>
      <w:r w:rsidR="003C2418" w:rsidRPr="00706247">
        <w:rPr>
          <w:rStyle w:val="Domylnaczcionkaakapitu2"/>
        </w:rPr>
        <w:t xml:space="preserve">  w jednostce ewidencyjnej</w:t>
      </w:r>
      <w:r w:rsidR="003F70FB">
        <w:rPr>
          <w:rStyle w:val="Domylnaczcionkaakapitu2"/>
        </w:rPr>
        <w:t xml:space="preserve"> Lesznowola</w:t>
      </w:r>
      <w:r w:rsidRPr="00706247">
        <w:rPr>
          <w:rStyle w:val="Domylnaczcionkaakapitu2"/>
        </w:rPr>
        <w:t>, zatem jedyną stroną postępowania jest inwestor, więc zgodnie z art. 61 § 4  k.p.a., nie było potrzeby wysyłania zawiadomienia o wszczęciu postępowania.</w:t>
      </w:r>
    </w:p>
    <w:p w:rsidR="00576BD2" w:rsidRPr="0089326F" w:rsidRDefault="00576BD2">
      <w:pPr>
        <w:tabs>
          <w:tab w:val="left" w:pos="568"/>
        </w:tabs>
        <w:overflowPunct w:val="0"/>
        <w:autoSpaceDE w:val="0"/>
        <w:jc w:val="both"/>
        <w:rPr>
          <w:color w:val="92D050"/>
        </w:rPr>
      </w:pPr>
    </w:p>
    <w:p w:rsidR="003829AA" w:rsidRPr="0089326F" w:rsidRDefault="00576BD2" w:rsidP="003829AA">
      <w:pPr>
        <w:ind w:firstLine="300"/>
        <w:jc w:val="both"/>
      </w:pPr>
      <w:r w:rsidRPr="0089326F">
        <w:tab/>
      </w:r>
      <w:r w:rsidR="003829AA" w:rsidRPr="0089326F">
        <w:t xml:space="preserve">Wobec stwierdzenia kompletności wniosku pod względem formalnym, dokonano sprawdzenia wniosku pod względem materialnoprawnym zgodnie z art. 35 ust. 1 ustawy                - Prawo budowlane </w:t>
      </w:r>
      <w:r w:rsidR="003829AA" w:rsidRPr="0089326F">
        <w:rPr>
          <w:rStyle w:val="Domylnaczcionkaakapitu2"/>
          <w:bCs/>
        </w:rPr>
        <w:t>tj.:</w:t>
      </w:r>
    </w:p>
    <w:p w:rsidR="003829AA" w:rsidRPr="0089326F" w:rsidRDefault="003829AA" w:rsidP="00906F51">
      <w:pPr>
        <w:pStyle w:val="Akapitzlist"/>
        <w:numPr>
          <w:ilvl w:val="0"/>
          <w:numId w:val="5"/>
        </w:numPr>
        <w:tabs>
          <w:tab w:val="clear" w:pos="0"/>
          <w:tab w:val="num" w:pos="720"/>
        </w:tabs>
        <w:suppressAutoHyphens w:val="0"/>
        <w:ind w:left="720"/>
        <w:jc w:val="both"/>
        <w:rPr>
          <w:rFonts w:ascii="Times New Roman" w:hAnsi="Times New Roman" w:cs="Times New Roman"/>
          <w:szCs w:val="24"/>
        </w:rPr>
      </w:pPr>
      <w:r w:rsidRPr="0089326F">
        <w:rPr>
          <w:rFonts w:ascii="Times New Roman" w:hAnsi="Times New Roman" w:cs="Times New Roman"/>
          <w:szCs w:val="24"/>
        </w:rPr>
        <w:t>zgodność projektu zagospodarowania działki lub terenu oraz projektu architektoniczno-budowlanego z:</w:t>
      </w:r>
    </w:p>
    <w:p w:rsidR="003829AA" w:rsidRPr="00706247" w:rsidRDefault="00C72720" w:rsidP="00C72720">
      <w:pPr>
        <w:pStyle w:val="Akapitzlist"/>
        <w:ind w:left="1137" w:hanging="428"/>
        <w:jc w:val="both"/>
        <w:rPr>
          <w:rFonts w:ascii="Times New Roman" w:hAnsi="Times New Roman" w:cs="Times New Roman"/>
          <w:szCs w:val="24"/>
        </w:rPr>
      </w:pPr>
      <w:r>
        <w:rPr>
          <w:rFonts w:ascii="Times New Roman" w:hAnsi="Times New Roman" w:cs="Times New Roman"/>
          <w:szCs w:val="24"/>
        </w:rPr>
        <w:t xml:space="preserve">a)   </w:t>
      </w:r>
      <w:r w:rsidR="003829AA" w:rsidRPr="0089326F">
        <w:rPr>
          <w:rFonts w:ascii="Times New Roman" w:hAnsi="Times New Roman" w:cs="Times New Roman"/>
          <w:szCs w:val="24"/>
        </w:rPr>
        <w:t>ustaleniami miejscowego planu zagospodarowania przestrzennego</w:t>
      </w:r>
      <w:r w:rsidR="003829AA" w:rsidRPr="0089326F">
        <w:rPr>
          <w:rStyle w:val="Domylnaczcionkaakapitu2"/>
          <w:rFonts w:ascii="Times New Roman" w:hAnsi="Times New Roman" w:cs="Times New Roman"/>
          <w:color w:val="FF6600"/>
          <w:szCs w:val="24"/>
        </w:rPr>
        <w:t xml:space="preserve"> </w:t>
      </w:r>
      <w:r w:rsidR="003C2418" w:rsidRPr="00C72720">
        <w:rPr>
          <w:rStyle w:val="Domylnaczcionkaakapitu2"/>
          <w:rFonts w:ascii="Times New Roman" w:hAnsi="Times New Roman" w:cs="Times New Roman"/>
          <w:szCs w:val="24"/>
        </w:rPr>
        <w:t>zatw</w:t>
      </w:r>
      <w:r w:rsidR="00376A89">
        <w:rPr>
          <w:rStyle w:val="Domylnaczcionkaakapitu2"/>
          <w:rFonts w:ascii="Times New Roman" w:hAnsi="Times New Roman" w:cs="Times New Roman"/>
          <w:szCs w:val="24"/>
        </w:rPr>
        <w:t>ierdzonego uchwałą nr</w:t>
      </w:r>
      <w:r w:rsidR="003A363C">
        <w:rPr>
          <w:rStyle w:val="Domylnaczcionkaakapitu2"/>
          <w:rFonts w:ascii="Times New Roman" w:hAnsi="Times New Roman" w:cs="Times New Roman"/>
          <w:szCs w:val="24"/>
        </w:rPr>
        <w:t xml:space="preserve"> </w:t>
      </w:r>
      <w:r w:rsidR="003A363C">
        <w:t>578/XLVIII/2022 Rady Gminy Lesznowola z dnia 24 marca 2022 r. w sprawie uchwalenia miejscowego planu zagospodarowania przestrzennego gminy Lesznowola dla części obrębu  Wilcza Góra (t.j. Dz. Urz. Woj. Maz. z dnia 29 kwietnia 2022 r. poz. 5117),</w:t>
      </w:r>
      <w:r w:rsidR="003A363C">
        <w:rPr>
          <w:rFonts w:ascii="Times New Roman" w:hAnsi="Times New Roman" w:cs="Times New Roman"/>
        </w:rPr>
        <w:t xml:space="preserve"> </w:t>
      </w:r>
      <w:r w:rsidR="003A363C">
        <w:rPr>
          <w:rFonts w:ascii="Times New Roman" w:hAnsi="Times New Roman" w:cs="Times New Roman"/>
          <w:kern w:val="0"/>
          <w:lang w:eastAsia="pl-PL"/>
        </w:rPr>
        <w:t>gdzie dla terenu inwestycyjnego przewidziano zabudowę usługową, oznaczoną symbolem 2U</w:t>
      </w:r>
      <w:r w:rsidRPr="00706247">
        <w:rPr>
          <w:rFonts w:ascii="Times New Roman" w:hAnsi="Times New Roman" w:cs="Times New Roman"/>
          <w:szCs w:val="24"/>
        </w:rPr>
        <w:t>;</w:t>
      </w:r>
      <w:r w:rsidR="003829AA" w:rsidRPr="00706247">
        <w:rPr>
          <w:rStyle w:val="Domylnaczcionkaakapitu2"/>
          <w:rFonts w:ascii="Times New Roman" w:hAnsi="Times New Roman" w:cs="Times New Roman"/>
          <w:szCs w:val="24"/>
        </w:rPr>
        <w:t xml:space="preserve"> </w:t>
      </w:r>
      <w:r w:rsidR="008B106E">
        <w:rPr>
          <w:rFonts w:ascii="Times New Roman" w:hAnsi="Times New Roman" w:cs="Times New Roman"/>
          <w:szCs w:val="24"/>
        </w:rPr>
        <w:t xml:space="preserve"> </w:t>
      </w:r>
      <w:r w:rsidR="003829AA" w:rsidRPr="00706247">
        <w:rPr>
          <w:rFonts w:ascii="Times New Roman" w:hAnsi="Times New Roman" w:cs="Times New Roman"/>
          <w:szCs w:val="24"/>
        </w:rPr>
        <w:t>i innymi aktami prawa miejscowego</w:t>
      </w:r>
      <w:r w:rsidR="003829AA" w:rsidRPr="00706247">
        <w:rPr>
          <w:rStyle w:val="Domylnaczcionkaakapitu2"/>
          <w:rFonts w:ascii="Times New Roman" w:hAnsi="Times New Roman" w:cs="Times New Roman"/>
          <w:szCs w:val="24"/>
        </w:rPr>
        <w:t xml:space="preserve">, w tym: </w:t>
      </w:r>
    </w:p>
    <w:p w:rsidR="003829AA" w:rsidRPr="0089326F" w:rsidRDefault="003829AA" w:rsidP="002A741A">
      <w:pPr>
        <w:pStyle w:val="Akapitzlist"/>
        <w:ind w:left="777"/>
        <w:jc w:val="both"/>
        <w:rPr>
          <w:rFonts w:ascii="Times New Roman" w:hAnsi="Times New Roman" w:cs="Times New Roman"/>
          <w:szCs w:val="24"/>
        </w:rPr>
      </w:pPr>
      <w:r w:rsidRPr="0089326F">
        <w:rPr>
          <w:rStyle w:val="alb"/>
          <w:rFonts w:ascii="Times New Roman" w:hAnsi="Times New Roman" w:cs="Times New Roman"/>
          <w:szCs w:val="24"/>
        </w:rPr>
        <w:t xml:space="preserve">b) </w:t>
      </w:r>
      <w:r w:rsidRPr="0089326F">
        <w:rPr>
          <w:rFonts w:ascii="Times New Roman" w:hAnsi="Times New Roman" w:cs="Times New Roman"/>
          <w:szCs w:val="24"/>
        </w:rPr>
        <w:t xml:space="preserve">wymaganiami ochrony środowiska, </w:t>
      </w:r>
      <w:r w:rsidR="002A741A" w:rsidRPr="002A741A">
        <w:rPr>
          <w:rFonts w:ascii="Times New Roman" w:hAnsi="Times New Roman" w:cs="Times New Roman"/>
          <w:szCs w:val="24"/>
        </w:rPr>
        <w:t>w szcze</w:t>
      </w:r>
      <w:r w:rsidR="002A741A">
        <w:rPr>
          <w:rFonts w:ascii="Times New Roman" w:hAnsi="Times New Roman" w:cs="Times New Roman"/>
          <w:szCs w:val="24"/>
        </w:rPr>
        <w:t xml:space="preserve">gólności określonymi w decyzji </w:t>
      </w:r>
      <w:r w:rsidR="002A741A" w:rsidRPr="002A741A">
        <w:rPr>
          <w:rFonts w:ascii="Times New Roman" w:hAnsi="Times New Roman" w:cs="Times New Roman"/>
          <w:szCs w:val="24"/>
        </w:rPr>
        <w:t>o środowiskowych uwarunkowaniach, o której mowa w art. 71 ust. 1 u</w:t>
      </w:r>
      <w:r w:rsidR="002A741A">
        <w:rPr>
          <w:rFonts w:ascii="Times New Roman" w:hAnsi="Times New Roman" w:cs="Times New Roman"/>
          <w:szCs w:val="24"/>
        </w:rPr>
        <w:t>stawy z dnia</w:t>
      </w:r>
      <w:r w:rsidR="002A741A" w:rsidRPr="002A741A">
        <w:rPr>
          <w:rFonts w:ascii="Times New Roman" w:hAnsi="Times New Roman" w:cs="Times New Roman"/>
          <w:szCs w:val="24"/>
        </w:rPr>
        <w:t xml:space="preserve"> 3 października 2008 r. o udostępnianiu informacji o środowisku i jego ochronie,       udziale społeczeństwa w ochronie środowiska oraz o ocenach oddziaływania na       środowisko,</w:t>
      </w:r>
    </w:p>
    <w:p w:rsidR="003829AA" w:rsidRPr="0089326F" w:rsidRDefault="003829AA" w:rsidP="00906F51">
      <w:pPr>
        <w:pStyle w:val="Akapitzlist"/>
        <w:numPr>
          <w:ilvl w:val="0"/>
          <w:numId w:val="6"/>
        </w:numPr>
        <w:ind w:left="777"/>
        <w:jc w:val="both"/>
        <w:rPr>
          <w:rFonts w:ascii="Times New Roman" w:hAnsi="Times New Roman" w:cs="Times New Roman"/>
          <w:szCs w:val="24"/>
        </w:rPr>
      </w:pPr>
      <w:r w:rsidRPr="0089326F">
        <w:rPr>
          <w:rFonts w:ascii="Times New Roman" w:hAnsi="Times New Roman" w:cs="Times New Roman"/>
          <w:szCs w:val="24"/>
        </w:rPr>
        <w:t>zgodność projektu zagospodarowania działki lub terenu z przepisami, w tym techniczno-budowlanymi;</w:t>
      </w:r>
    </w:p>
    <w:p w:rsidR="003829AA" w:rsidRPr="0089326F" w:rsidRDefault="003829AA" w:rsidP="00906F51">
      <w:pPr>
        <w:pStyle w:val="Akapitzlist"/>
        <w:numPr>
          <w:ilvl w:val="0"/>
          <w:numId w:val="6"/>
        </w:numPr>
        <w:ind w:left="777"/>
        <w:jc w:val="both"/>
        <w:rPr>
          <w:rFonts w:ascii="Times New Roman" w:hAnsi="Times New Roman" w:cs="Times New Roman"/>
          <w:szCs w:val="24"/>
        </w:rPr>
      </w:pPr>
      <w:r w:rsidRPr="0089326F">
        <w:rPr>
          <w:rFonts w:ascii="Times New Roman" w:hAnsi="Times New Roman" w:cs="Times New Roman"/>
          <w:szCs w:val="24"/>
        </w:rPr>
        <w:t>kompletność projektu zagospodarowania działki lub terenu oraz projektu architektoniczno-budowlanego, w tym dołączenie:</w:t>
      </w:r>
    </w:p>
    <w:p w:rsidR="003829AA" w:rsidRPr="0089326F" w:rsidRDefault="003829AA" w:rsidP="003829AA">
      <w:pPr>
        <w:pStyle w:val="Akapitzlist"/>
        <w:ind w:left="777"/>
        <w:jc w:val="both"/>
        <w:rPr>
          <w:rFonts w:ascii="Times New Roman" w:hAnsi="Times New Roman" w:cs="Times New Roman"/>
          <w:szCs w:val="24"/>
        </w:rPr>
      </w:pPr>
      <w:r w:rsidRPr="0089326F">
        <w:rPr>
          <w:rStyle w:val="alb"/>
          <w:rFonts w:ascii="Times New Roman" w:hAnsi="Times New Roman" w:cs="Times New Roman"/>
          <w:szCs w:val="24"/>
        </w:rPr>
        <w:t xml:space="preserve">c) </w:t>
      </w:r>
      <w:r w:rsidRPr="0089326F">
        <w:rPr>
          <w:rFonts w:ascii="Times New Roman" w:hAnsi="Times New Roman" w:cs="Times New Roman"/>
          <w:szCs w:val="24"/>
        </w:rPr>
        <w:t>kopii zaświadczenia, o którym mowa w art. 12 ust. 7, dotyczącego projektanta                         i projektanta sprawdzającego;</w:t>
      </w:r>
    </w:p>
    <w:p w:rsidR="003829AA" w:rsidRPr="0089326F" w:rsidRDefault="003829AA" w:rsidP="003829AA">
      <w:pPr>
        <w:pStyle w:val="Akapitzlist"/>
        <w:ind w:left="0"/>
        <w:jc w:val="both"/>
        <w:rPr>
          <w:rFonts w:ascii="Times New Roman" w:hAnsi="Times New Roman" w:cs="Times New Roman"/>
          <w:szCs w:val="24"/>
        </w:rPr>
      </w:pPr>
      <w:r w:rsidRPr="0089326F">
        <w:rPr>
          <w:rFonts w:ascii="Times New Roman" w:hAnsi="Times New Roman" w:cs="Times New Roman"/>
          <w:szCs w:val="24"/>
        </w:rPr>
        <w:t xml:space="preserve">       3a.  dołączenie:</w:t>
      </w:r>
    </w:p>
    <w:p w:rsidR="003829AA" w:rsidRPr="0089326F" w:rsidRDefault="003829AA" w:rsidP="003829AA">
      <w:pPr>
        <w:ind w:left="777"/>
        <w:jc w:val="both"/>
      </w:pPr>
      <w:r w:rsidRPr="0089326F">
        <w:t>a) wymaganych opinii, uzgodnień, pozwoleń i sprawdzeń,</w:t>
      </w:r>
    </w:p>
    <w:p w:rsidR="003829AA" w:rsidRPr="0089326F" w:rsidRDefault="003829AA" w:rsidP="003829AA">
      <w:pPr>
        <w:ind w:left="777"/>
        <w:jc w:val="both"/>
      </w:pPr>
      <w:r w:rsidRPr="0089326F">
        <w:t>b) oświadczeń, o których mowa w art. 33 ust. 2 pkt 9 i 10;</w:t>
      </w:r>
    </w:p>
    <w:p w:rsidR="003829AA" w:rsidRPr="0089326F" w:rsidRDefault="003829AA" w:rsidP="00906F51">
      <w:pPr>
        <w:numPr>
          <w:ilvl w:val="0"/>
          <w:numId w:val="6"/>
        </w:numPr>
        <w:ind w:left="777"/>
        <w:jc w:val="both"/>
      </w:pPr>
      <w:bookmarkStart w:id="3" w:name="ref-przyp_46"/>
      <w:bookmarkEnd w:id="3"/>
      <w:r w:rsidRPr="0089326F">
        <w:t>  posiadanie przez projektanta i projektanta sprawdzającego odpowiednich uprawnień budowlanych na podstawie:</w:t>
      </w:r>
    </w:p>
    <w:p w:rsidR="003829AA" w:rsidRPr="0089326F" w:rsidRDefault="003829AA" w:rsidP="003829AA">
      <w:pPr>
        <w:ind w:left="777"/>
        <w:jc w:val="both"/>
      </w:pPr>
      <w:r w:rsidRPr="0089326F">
        <w:t>a) kopii dokumentów, o których mowa w art. 34 ust. 3d pkt 1 - w przypadku uprawnień niewpisanych do centralnego rejestru osób posiadających uprawnienia budowlane,</w:t>
      </w:r>
    </w:p>
    <w:p w:rsidR="003829AA" w:rsidRPr="0089326F" w:rsidRDefault="003829AA" w:rsidP="003829AA">
      <w:pPr>
        <w:ind w:left="777"/>
        <w:jc w:val="both"/>
      </w:pPr>
      <w:r w:rsidRPr="0089326F">
        <w:t>b) danych w centralnym rejestrze osób posiadających uprawnienia budowlane – w przypadku uprawnień wpisanych do tego rejestru;</w:t>
      </w:r>
    </w:p>
    <w:p w:rsidR="003829AA" w:rsidRPr="0089326F" w:rsidRDefault="003829AA" w:rsidP="003829AA">
      <w:pPr>
        <w:ind w:left="851" w:hanging="434"/>
        <w:jc w:val="both"/>
      </w:pPr>
      <w:r w:rsidRPr="0089326F">
        <w:t>4a. przynależność projektanta i projektanta sprawdzającego do właściwej izby samorządu zawodowego na podstawie:</w:t>
      </w:r>
    </w:p>
    <w:p w:rsidR="003829AA" w:rsidRPr="0089326F" w:rsidRDefault="003829AA" w:rsidP="003829AA">
      <w:pPr>
        <w:ind w:left="777"/>
        <w:jc w:val="both"/>
      </w:pPr>
      <w:r w:rsidRPr="0089326F">
        <w:t>a) zaświadczenia, o którym mowa w art. 12 ust. 7 - w przypadku osób niewpisanych do centralnego rejestru osób posiadających uprawnienia budowlane,</w:t>
      </w:r>
    </w:p>
    <w:p w:rsidR="003829AA" w:rsidRPr="0089326F" w:rsidRDefault="003829AA" w:rsidP="003829AA">
      <w:pPr>
        <w:ind w:left="777"/>
        <w:jc w:val="both"/>
      </w:pPr>
      <w:r w:rsidRPr="0089326F">
        <w:t>b) danych w centralnym rejestrze osób posiadających uprawnienia budowlane – w przypadku osób wpisanych do tego rejestru.</w:t>
      </w:r>
    </w:p>
    <w:p w:rsidR="003829AA" w:rsidRDefault="003829AA" w:rsidP="003829AA">
      <w:pPr>
        <w:ind w:left="777"/>
        <w:jc w:val="both"/>
        <w:rPr>
          <w:color w:val="66CC00"/>
        </w:rPr>
      </w:pPr>
    </w:p>
    <w:p w:rsidR="00D133FA" w:rsidRDefault="00D133FA" w:rsidP="00D133FA">
      <w:pPr>
        <w:pStyle w:val="Standard"/>
        <w:tabs>
          <w:tab w:val="right" w:pos="-26911"/>
          <w:tab w:val="left" w:pos="-26787"/>
        </w:tabs>
        <w:jc w:val="both"/>
      </w:pPr>
      <w:r>
        <w:t xml:space="preserve">        Wobec stwierdzenia naruszeń w powyższym zakresie,  działając na podstawie art. 35 ust. 2 ustawy - Prawo budowlane, Starosta Piaseczyński  postanowieniem z dnia 15 czerwca 2022 r. nałożył na inwestora obowiązek uzupełnienia, w terminie 60 dni, następujących braków i nieprawidłowości w przedłożonych egzemplarzach projektu poprzez:</w:t>
      </w:r>
    </w:p>
    <w:p w:rsidR="00D133FA" w:rsidRDefault="00D133FA" w:rsidP="00906F51">
      <w:pPr>
        <w:pStyle w:val="Akapitzlist"/>
        <w:widowControl/>
        <w:numPr>
          <w:ilvl w:val="0"/>
          <w:numId w:val="26"/>
        </w:numPr>
        <w:pBdr>
          <w:top w:val="none" w:sz="0" w:space="0" w:color="auto"/>
          <w:left w:val="none" w:sz="0" w:space="0" w:color="auto"/>
          <w:bottom w:val="none" w:sz="0" w:space="0" w:color="auto"/>
          <w:right w:val="none" w:sz="0" w:space="0" w:color="auto"/>
        </w:pBdr>
        <w:suppressAutoHyphens w:val="0"/>
        <w:autoSpaceDE w:val="0"/>
        <w:autoSpaceDN w:val="0"/>
        <w:jc w:val="both"/>
        <w:textAlignment w:val="auto"/>
      </w:pPr>
      <w:r>
        <w:t xml:space="preserve">Doprowadzenie projektu do zgodności z wnioskiem w zakresie zamierzenia budowlanego, gdyż we wniosku mowa jest o zespole, którym jest więcej niż jeden z danego rodzaju obiektu budowlanego, natomiast z projektu wynika, że planuje się budowę jednego budynku mającego pełnić funkcję produkcyjno-magazynowo-usługową z zapleczem socjalno-biurowym, oraz budynku portierni (zwanej w projekcie także wartownią- co należy ujednolicić), budynku pompowni, jak również wewnętrznych sieci, czyli obiektów, które należy literalnie we wniosku wymienić, co natomiast błędnie nie zostało zrobione. Ponadto organ informuje, że w nazwie zamierzenia budowlanego nie określono rodzaju obiektu budowlanego, jakim wniosek jest objęty - organ wyjaśnia, że zgodnie z art. 3 pkt 1 ustawy Prawo budowlane, stanowiącym: " </w:t>
      </w:r>
      <w:r>
        <w:rPr>
          <w:i/>
        </w:rPr>
        <w:t>Ilekroć w ustawie jest mowa o: obiekcie budowlanym – należy przez to rozumieć budynek, budowlę bądź obiekt małej architektury, wraz z instalacjami zapewniającymi możliwość użytkowania obiektu zgodnie z jego przeznaczeniem, wzniesiony z użyciem wyrobów budowlanych;"</w:t>
      </w:r>
      <w:r>
        <w:t>- w związku z czym należy doprecyzować nazwę zamierzenia budowlanego, konkretnie określając nazwę obiektu nim objętego (budynek, wiata, sieć itd.) oraz wskazując jego funkcję zgodną z planami inwestora, jak również wymieniając wszystkie obiekty budowlane jakie w związku z tą inwestycją planuje się wybudować, dla których Prawo budowlane przewiduje odrębną kategorię obiektu budowlanego;</w:t>
      </w:r>
    </w:p>
    <w:p w:rsidR="00D133FA" w:rsidRDefault="00D133FA" w:rsidP="00906F51">
      <w:pPr>
        <w:pStyle w:val="Akapitzlist"/>
        <w:widowControl/>
        <w:numPr>
          <w:ilvl w:val="0"/>
          <w:numId w:val="26"/>
        </w:numPr>
        <w:pBdr>
          <w:top w:val="none" w:sz="0" w:space="0" w:color="auto"/>
          <w:left w:val="none" w:sz="0" w:space="0" w:color="auto"/>
          <w:bottom w:val="none" w:sz="0" w:space="0" w:color="auto"/>
          <w:right w:val="none" w:sz="0" w:space="0" w:color="auto"/>
        </w:pBdr>
        <w:suppressAutoHyphens w:val="0"/>
        <w:autoSpaceDE w:val="0"/>
        <w:autoSpaceDN w:val="0"/>
        <w:jc w:val="both"/>
        <w:textAlignment w:val="auto"/>
      </w:pPr>
      <w:r>
        <w:t xml:space="preserve">Projekt doprowadzić do zgodności z uchwałą nr 578/XLVIII/2022 Rady Gminy Lesznowola z dnia 24 marca 2022 r. w sprawie uchwalenia miejscowego planu zagospodarowania przestrzennego gminy Lesznowola dla części obrębu  Wilcza Góra (t.j. Dz. Urz. Woj. Maz. z dnia 29 kwietnia 2022 r. poz. 5117), w zakresie: </w:t>
      </w:r>
    </w:p>
    <w:p w:rsidR="00D133FA" w:rsidRPr="004415A6" w:rsidRDefault="00D133FA" w:rsidP="00906F51">
      <w:pPr>
        <w:pStyle w:val="Akapitzlist"/>
        <w:widowControl/>
        <w:numPr>
          <w:ilvl w:val="0"/>
          <w:numId w:val="27"/>
        </w:numPr>
        <w:pBdr>
          <w:top w:val="none" w:sz="0" w:space="0" w:color="auto"/>
          <w:left w:val="none" w:sz="0" w:space="0" w:color="auto"/>
          <w:bottom w:val="none" w:sz="0" w:space="0" w:color="auto"/>
          <w:right w:val="none" w:sz="0" w:space="0" w:color="auto"/>
        </w:pBdr>
        <w:suppressAutoHyphens w:val="0"/>
        <w:autoSpaceDE w:val="0"/>
        <w:autoSpaceDN w:val="0"/>
        <w:jc w:val="both"/>
        <w:textAlignment w:val="auto"/>
      </w:pPr>
      <w:r>
        <w:rPr>
          <w:rFonts w:ascii="Times New Roman" w:hAnsi="Times New Roman" w:cs="Times New Roman"/>
        </w:rPr>
        <w:t>§</w:t>
      </w:r>
      <w:r>
        <w:t xml:space="preserve"> 10 ust. 2 pkt 5, brzmiący, że: "</w:t>
      </w:r>
      <w:r>
        <w:rPr>
          <w:i/>
        </w:rPr>
        <w:t xml:space="preserve">Zakazuje się: zmian stanu wody na gruncie, a zwłaszcza kierunku i natężenia odpływu znajdujących się na jego gruncie wód opadowych lub roztopowych ani kierunku odpływu wód ze źródeł - ze szkodą dla gruntów sąsiednich oraz odprowadzania wód opadowych oraz ścieków na grunty sąsiednie;" - </w:t>
      </w:r>
      <w:r>
        <w:t xml:space="preserve">należy wykazać spełnienie tego zakazu, gdyż z projektu zagospodarowania terenu wynika, że dość znacząco zmieniono ukształtowanie terenu, wynosząc je ponad aktualny poziom w najniżej położonych częściach działki nawet o ponad 3 metry, a względem innych o około 1 metr, co ma wpływ na zmianę stanu poziomu wód gruntowych, a co jest niezgodne z powyższym przepisem. Ponadto organ informuje, że z mapy do celów projektowych oraz opisu do projektu zagospodarowania terenu wynika, że inwestor nie wykonał jeszcze decyzji </w:t>
      </w:r>
      <w:r w:rsidRPr="004415A6">
        <w:t>Państwowego Gospodarstwa Wodnego Wody Polskie z dnia 29 listopada 2021 r., udzielającej pozwolenia na likwidację stawu ziemnego- poprzez jego zasypanie do rzędnej od 121,80 m n.p.m. do 122,0 m n.p.m., w związku z czym w ocenie organu, powyższy zapis miejscowego planu uniemożliwia jej skonsumowanie, gdyż wprost zakazuje się dokonywania takich zmian. Decyzja Państwowego Gospodarstwa Wodnego Wody Polskie została wydana sprzed wejściem w życie miejscowego planu, dlatego nie uwzględniała takiego zakazu, a który jest bardzo istotnym dla wykonani tego typu robót budowlanych;</w:t>
      </w:r>
    </w:p>
    <w:p w:rsidR="00D133FA" w:rsidRDefault="00D133FA" w:rsidP="00906F51">
      <w:pPr>
        <w:pStyle w:val="Akapitzlist"/>
        <w:widowControl/>
        <w:numPr>
          <w:ilvl w:val="0"/>
          <w:numId w:val="27"/>
        </w:numPr>
        <w:pBdr>
          <w:top w:val="none" w:sz="0" w:space="0" w:color="auto"/>
          <w:left w:val="none" w:sz="0" w:space="0" w:color="auto"/>
          <w:bottom w:val="none" w:sz="0" w:space="0" w:color="auto"/>
          <w:right w:val="none" w:sz="0" w:space="0" w:color="auto"/>
        </w:pBdr>
        <w:suppressAutoHyphens w:val="0"/>
        <w:autoSpaceDE w:val="0"/>
        <w:autoSpaceDN w:val="0"/>
        <w:jc w:val="both"/>
        <w:textAlignment w:val="auto"/>
      </w:pPr>
      <w:r w:rsidRPr="004415A6">
        <w:rPr>
          <w:rFonts w:ascii="Times New Roman" w:hAnsi="Times New Roman" w:cs="Times New Roman"/>
        </w:rPr>
        <w:lastRenderedPageBreak/>
        <w:t>§</w:t>
      </w:r>
      <w:r w:rsidRPr="004415A6">
        <w:t xml:space="preserve"> 11 ust. 2 pkt 2, który stanowi, że : "</w:t>
      </w:r>
      <w:r w:rsidRPr="004415A6">
        <w:rPr>
          <w:i/>
        </w:rPr>
        <w:t xml:space="preserve">Zasady ochrony urządzeń melioracji wodnych </w:t>
      </w:r>
      <w:r>
        <w:rPr>
          <w:i/>
        </w:rPr>
        <w:t>szczegółowych: zakazuje się wznoszenia nad rurociągami drenarskimi budowli oraz wykonywania nad nimi nawierzchni nieprzepuszczalnych z uwzględnieniem ustaleń pkt 3 i 4;"</w:t>
      </w:r>
      <w:r>
        <w:t xml:space="preserve"> - w związku z tym zapisem miejscowego planu, należy uzupełnić projekt o uzgodnienie z Państwowego Gospodarstwa Wodnego Wody Polskie w zakresie urządzeń melioracyjnych, jakie mogą na danym obszarze występować, jednocześnie wykazując spełnienie wynikających z niego obowiązków, oraz wszelkich obostrzeń;</w:t>
      </w:r>
    </w:p>
    <w:p w:rsidR="00D133FA" w:rsidRDefault="00D133FA" w:rsidP="00906F51">
      <w:pPr>
        <w:pStyle w:val="Akapitzlist"/>
        <w:widowControl/>
        <w:numPr>
          <w:ilvl w:val="0"/>
          <w:numId w:val="27"/>
        </w:numPr>
        <w:pBdr>
          <w:top w:val="none" w:sz="0" w:space="0" w:color="auto"/>
          <w:left w:val="none" w:sz="0" w:space="0" w:color="auto"/>
          <w:bottom w:val="none" w:sz="0" w:space="0" w:color="auto"/>
          <w:right w:val="none" w:sz="0" w:space="0" w:color="auto"/>
        </w:pBdr>
        <w:suppressAutoHyphens w:val="0"/>
        <w:autoSpaceDE w:val="0"/>
        <w:autoSpaceDN w:val="0"/>
        <w:jc w:val="both"/>
        <w:textAlignment w:val="auto"/>
      </w:pPr>
      <w:r>
        <w:rPr>
          <w:rFonts w:ascii="Times New Roman" w:hAnsi="Times New Roman" w:cs="Times New Roman"/>
        </w:rPr>
        <w:t>§</w:t>
      </w:r>
      <w:r>
        <w:t xml:space="preserve"> 14. który stanowi: " </w:t>
      </w:r>
      <w:r>
        <w:rPr>
          <w:i/>
        </w:rPr>
        <w:t>Dla terenów zabudowy usługowej oznaczonych symbolem literowym U ustala się:</w:t>
      </w:r>
    </w:p>
    <w:p w:rsidR="00D133FA" w:rsidRDefault="00D133FA" w:rsidP="00D133FA">
      <w:pPr>
        <w:pStyle w:val="Akapitzlist"/>
        <w:widowControl/>
        <w:suppressAutoHyphens w:val="0"/>
        <w:autoSpaceDE w:val="0"/>
        <w:ind w:left="1440"/>
        <w:jc w:val="both"/>
        <w:textAlignment w:val="auto"/>
        <w:rPr>
          <w:i/>
        </w:rPr>
      </w:pPr>
      <w:r>
        <w:rPr>
          <w:i/>
        </w:rPr>
        <w:t>1) przeznaczenie terenu:</w:t>
      </w:r>
    </w:p>
    <w:p w:rsidR="00D133FA" w:rsidRDefault="00D133FA" w:rsidP="00D133FA">
      <w:pPr>
        <w:pStyle w:val="Akapitzlist"/>
        <w:widowControl/>
        <w:suppressAutoHyphens w:val="0"/>
        <w:autoSpaceDE w:val="0"/>
        <w:ind w:left="1440"/>
        <w:jc w:val="both"/>
        <w:textAlignment w:val="auto"/>
        <w:rPr>
          <w:i/>
        </w:rPr>
      </w:pPr>
      <w:r>
        <w:rPr>
          <w:i/>
        </w:rPr>
        <w:t>a) przeznaczenie podstawowe:</w:t>
      </w:r>
    </w:p>
    <w:p w:rsidR="00D133FA" w:rsidRDefault="00D133FA" w:rsidP="00D133FA">
      <w:pPr>
        <w:pStyle w:val="Akapitzlist"/>
        <w:widowControl/>
        <w:suppressAutoHyphens w:val="0"/>
        <w:autoSpaceDE w:val="0"/>
        <w:ind w:left="1440"/>
        <w:jc w:val="both"/>
        <w:textAlignment w:val="auto"/>
        <w:rPr>
          <w:i/>
        </w:rPr>
      </w:pPr>
      <w:r>
        <w:rPr>
          <w:i/>
        </w:rPr>
        <w:t>- zabudowa usługowa,</w:t>
      </w:r>
    </w:p>
    <w:p w:rsidR="00D133FA" w:rsidRDefault="00D133FA" w:rsidP="00D133FA">
      <w:pPr>
        <w:pStyle w:val="Akapitzlist"/>
        <w:widowControl/>
        <w:suppressAutoHyphens w:val="0"/>
        <w:autoSpaceDE w:val="0"/>
        <w:ind w:left="1440"/>
        <w:jc w:val="both"/>
        <w:textAlignment w:val="auto"/>
        <w:rPr>
          <w:i/>
        </w:rPr>
      </w:pPr>
      <w:r>
        <w:rPr>
          <w:i/>
        </w:rPr>
        <w:t>- rzemiosło,</w:t>
      </w:r>
    </w:p>
    <w:p w:rsidR="00D133FA" w:rsidRDefault="00D133FA" w:rsidP="00D133FA">
      <w:pPr>
        <w:pStyle w:val="Akapitzlist"/>
        <w:widowControl/>
        <w:suppressAutoHyphens w:val="0"/>
        <w:autoSpaceDE w:val="0"/>
        <w:ind w:left="1440"/>
        <w:jc w:val="both"/>
        <w:textAlignment w:val="auto"/>
        <w:rPr>
          <w:i/>
        </w:rPr>
      </w:pPr>
      <w:r>
        <w:rPr>
          <w:i/>
        </w:rPr>
        <w:t>b) przeznaczenie dopuszczalne:</w:t>
      </w:r>
    </w:p>
    <w:p w:rsidR="00D133FA" w:rsidRDefault="00D133FA" w:rsidP="00D133FA">
      <w:pPr>
        <w:pStyle w:val="Akapitzlist"/>
        <w:widowControl/>
        <w:suppressAutoHyphens w:val="0"/>
        <w:autoSpaceDE w:val="0"/>
        <w:ind w:left="1440"/>
        <w:jc w:val="both"/>
        <w:textAlignment w:val="auto"/>
        <w:rPr>
          <w:i/>
        </w:rPr>
      </w:pPr>
      <w:r>
        <w:rPr>
          <w:i/>
        </w:rPr>
        <w:t>- magazyny,</w:t>
      </w:r>
    </w:p>
    <w:p w:rsidR="00D133FA" w:rsidRDefault="00D133FA" w:rsidP="00D133FA">
      <w:pPr>
        <w:pStyle w:val="Akapitzlist"/>
        <w:widowControl/>
        <w:suppressAutoHyphens w:val="0"/>
        <w:autoSpaceDE w:val="0"/>
        <w:ind w:left="1440"/>
        <w:jc w:val="both"/>
        <w:textAlignment w:val="auto"/>
        <w:rPr>
          <w:i/>
        </w:rPr>
      </w:pPr>
      <w:r>
        <w:rPr>
          <w:i/>
        </w:rPr>
        <w:t>- zieleń urządzona, wiaty, altany, obiekty i urządzenia sportu i rekreacji, place zabaw, zbiorniki wodne małej retencji i inne zbiorniki wodne,</w:t>
      </w:r>
    </w:p>
    <w:p w:rsidR="00D133FA" w:rsidRDefault="00D133FA" w:rsidP="00D133FA">
      <w:pPr>
        <w:pStyle w:val="Akapitzlist"/>
        <w:widowControl/>
        <w:suppressAutoHyphens w:val="0"/>
        <w:autoSpaceDE w:val="0"/>
        <w:ind w:left="1440"/>
        <w:jc w:val="both"/>
        <w:textAlignment w:val="auto"/>
        <w:rPr>
          <w:i/>
        </w:rPr>
      </w:pPr>
      <w:r>
        <w:rPr>
          <w:i/>
        </w:rPr>
        <w:t>- sieci i urządzenia infrastruktury technicznej,</w:t>
      </w:r>
    </w:p>
    <w:p w:rsidR="00D133FA" w:rsidRDefault="00D133FA" w:rsidP="00D133FA">
      <w:pPr>
        <w:pStyle w:val="Akapitzlist"/>
        <w:widowControl/>
        <w:suppressAutoHyphens w:val="0"/>
        <w:autoSpaceDE w:val="0"/>
        <w:ind w:left="1440"/>
        <w:jc w:val="both"/>
        <w:textAlignment w:val="auto"/>
        <w:rPr>
          <w:i/>
        </w:rPr>
      </w:pPr>
      <w:r>
        <w:rPr>
          <w:i/>
        </w:rPr>
        <w:t>- drogi wewnętrzne, dojścia, dojazdy, utwardzenia, parkingi;</w:t>
      </w:r>
    </w:p>
    <w:p w:rsidR="00D133FA" w:rsidRDefault="00D133FA" w:rsidP="00D133FA">
      <w:pPr>
        <w:pStyle w:val="Akapitzlist"/>
        <w:widowControl/>
        <w:suppressAutoHyphens w:val="0"/>
        <w:autoSpaceDE w:val="0"/>
        <w:ind w:left="1440"/>
        <w:jc w:val="both"/>
        <w:textAlignment w:val="auto"/>
      </w:pPr>
      <w:r>
        <w:rPr>
          <w:i/>
        </w:rPr>
        <w:t>2) dopuszcza się rozbudowę, przebudowę i nadbudowę istniejących budynków;</w:t>
      </w:r>
    </w:p>
    <w:p w:rsidR="00D133FA" w:rsidRDefault="00D133FA" w:rsidP="00D133FA">
      <w:pPr>
        <w:pStyle w:val="Akapitzlist"/>
        <w:widowControl/>
        <w:suppressAutoHyphens w:val="0"/>
        <w:autoSpaceDE w:val="0"/>
        <w:ind w:left="1440"/>
        <w:jc w:val="both"/>
        <w:textAlignment w:val="auto"/>
        <w:rPr>
          <w:i/>
        </w:rPr>
      </w:pPr>
      <w:r>
        <w:rPr>
          <w:i/>
        </w:rPr>
        <w:t>3) zakazuje się lokalizacji:</w:t>
      </w:r>
    </w:p>
    <w:p w:rsidR="00D133FA" w:rsidRDefault="00D133FA" w:rsidP="00D133FA">
      <w:pPr>
        <w:pStyle w:val="Akapitzlist"/>
        <w:widowControl/>
        <w:suppressAutoHyphens w:val="0"/>
        <w:autoSpaceDE w:val="0"/>
        <w:ind w:left="1440"/>
        <w:jc w:val="both"/>
        <w:textAlignment w:val="auto"/>
        <w:rPr>
          <w:i/>
        </w:rPr>
      </w:pPr>
      <w:r>
        <w:rPr>
          <w:i/>
        </w:rPr>
        <w:t>a) stacji paliw,</w:t>
      </w:r>
    </w:p>
    <w:p w:rsidR="00D133FA" w:rsidRDefault="00D133FA" w:rsidP="00D133FA">
      <w:pPr>
        <w:pStyle w:val="Akapitzlist"/>
        <w:widowControl/>
        <w:suppressAutoHyphens w:val="0"/>
        <w:autoSpaceDE w:val="0"/>
        <w:ind w:left="1440"/>
        <w:jc w:val="both"/>
        <w:textAlignment w:val="auto"/>
      </w:pPr>
      <w:r>
        <w:rPr>
          <w:i/>
        </w:rPr>
        <w:t>b) obiektów i usług komunalnych związanych z przetwórstwem, magazynowaniem, segregacją odpadów i surowców wtórnych,</w:t>
      </w:r>
    </w:p>
    <w:p w:rsidR="00D133FA" w:rsidRDefault="00D133FA" w:rsidP="00D133FA">
      <w:pPr>
        <w:pStyle w:val="Akapitzlist"/>
        <w:widowControl/>
        <w:suppressAutoHyphens w:val="0"/>
        <w:autoSpaceDE w:val="0"/>
        <w:ind w:left="1440"/>
        <w:jc w:val="both"/>
        <w:textAlignment w:val="auto"/>
        <w:rPr>
          <w:i/>
        </w:rPr>
      </w:pPr>
      <w:r>
        <w:rPr>
          <w:i/>
        </w:rPr>
        <w:t>c) obiektów i usług związanych z wytwarzaniem i przerobem mas</w:t>
      </w:r>
    </w:p>
    <w:p w:rsidR="00D133FA" w:rsidRDefault="00D133FA" w:rsidP="00D133FA">
      <w:pPr>
        <w:pStyle w:val="Akapitzlist"/>
        <w:widowControl/>
        <w:suppressAutoHyphens w:val="0"/>
        <w:autoSpaceDE w:val="0"/>
        <w:ind w:left="1440"/>
        <w:jc w:val="both"/>
        <w:textAlignment w:val="auto"/>
        <w:rPr>
          <w:i/>
        </w:rPr>
      </w:pPr>
      <w:r>
        <w:rPr>
          <w:i/>
        </w:rPr>
        <w:t>bitumicznych,</w:t>
      </w:r>
    </w:p>
    <w:p w:rsidR="00D133FA" w:rsidRDefault="00D133FA" w:rsidP="00D133FA">
      <w:pPr>
        <w:pStyle w:val="Akapitzlist"/>
        <w:widowControl/>
        <w:suppressAutoHyphens w:val="0"/>
        <w:autoSpaceDE w:val="0"/>
        <w:ind w:left="1440"/>
        <w:jc w:val="both"/>
        <w:textAlignment w:val="auto"/>
        <w:rPr>
          <w:i/>
        </w:rPr>
      </w:pPr>
      <w:r>
        <w:rPr>
          <w:i/>
        </w:rPr>
        <w:t>d) obiektów budowlanych przeznaczonych na pobyt ludzi w pasie</w:t>
      </w:r>
    </w:p>
    <w:p w:rsidR="00D133FA" w:rsidRDefault="00D133FA" w:rsidP="00D133FA">
      <w:pPr>
        <w:pStyle w:val="Akapitzlist"/>
        <w:widowControl/>
        <w:suppressAutoHyphens w:val="0"/>
        <w:autoSpaceDE w:val="0"/>
        <w:ind w:left="1440"/>
        <w:jc w:val="both"/>
        <w:textAlignment w:val="auto"/>
        <w:rPr>
          <w:i/>
        </w:rPr>
      </w:pPr>
      <w:r>
        <w:rPr>
          <w:i/>
        </w:rPr>
        <w:t>technologicznym napowietrznej linii elektroenergetycznej o napięciu 220 kV,</w:t>
      </w:r>
      <w:r>
        <w:rPr>
          <w:i/>
        </w:rPr>
        <w:br/>
        <w:t>e) obiektów budowlanych zawierających materiały niebezpieczne pożarowo</w:t>
      </w:r>
    </w:p>
    <w:p w:rsidR="00D133FA" w:rsidRDefault="00D133FA" w:rsidP="00D133FA">
      <w:pPr>
        <w:pStyle w:val="Akapitzlist"/>
        <w:widowControl/>
        <w:suppressAutoHyphens w:val="0"/>
        <w:autoSpaceDE w:val="0"/>
        <w:ind w:left="1440"/>
        <w:jc w:val="both"/>
        <w:textAlignment w:val="auto"/>
        <w:rPr>
          <w:i/>
        </w:rPr>
      </w:pPr>
      <w:r>
        <w:rPr>
          <w:i/>
        </w:rPr>
        <w:t>i stref zagrożonych wybuchem w pasie technologicznym napowietrznej linii</w:t>
      </w:r>
    </w:p>
    <w:p w:rsidR="00D133FA" w:rsidRDefault="00D133FA" w:rsidP="00D133FA">
      <w:pPr>
        <w:pStyle w:val="Akapitzlist"/>
        <w:widowControl/>
        <w:suppressAutoHyphens w:val="0"/>
        <w:autoSpaceDE w:val="0"/>
        <w:ind w:left="1440"/>
        <w:jc w:val="both"/>
        <w:textAlignment w:val="auto"/>
        <w:rPr>
          <w:i/>
        </w:rPr>
      </w:pPr>
      <w:r>
        <w:rPr>
          <w:i/>
        </w:rPr>
        <w:t>elektroenergetycznej o napięciu 220 kV.</w:t>
      </w:r>
    </w:p>
    <w:p w:rsidR="00D133FA" w:rsidRDefault="00D133FA" w:rsidP="00D133FA">
      <w:pPr>
        <w:pStyle w:val="Akapitzlist"/>
        <w:widowControl/>
        <w:suppressAutoHyphens w:val="0"/>
        <w:autoSpaceDE w:val="0"/>
        <w:ind w:left="1440"/>
        <w:jc w:val="both"/>
        <w:textAlignment w:val="auto"/>
        <w:rPr>
          <w:i/>
        </w:rPr>
      </w:pPr>
      <w:r>
        <w:rPr>
          <w:i/>
        </w:rPr>
        <w:t>4) zasady kształtowania zabudowy, zagospodarowania terenu oraz</w:t>
      </w:r>
    </w:p>
    <w:p w:rsidR="00D133FA" w:rsidRDefault="00D133FA" w:rsidP="00D133FA">
      <w:pPr>
        <w:pStyle w:val="Akapitzlist"/>
        <w:widowControl/>
        <w:suppressAutoHyphens w:val="0"/>
        <w:autoSpaceDE w:val="0"/>
        <w:ind w:left="1440"/>
        <w:jc w:val="both"/>
        <w:textAlignment w:val="auto"/>
        <w:rPr>
          <w:i/>
        </w:rPr>
      </w:pPr>
      <w:r>
        <w:rPr>
          <w:i/>
        </w:rPr>
        <w:t>kształtowania ładu przestrzennego:</w:t>
      </w:r>
    </w:p>
    <w:p w:rsidR="00D133FA" w:rsidRDefault="00D133FA" w:rsidP="00D133FA">
      <w:pPr>
        <w:pStyle w:val="Akapitzlist"/>
        <w:widowControl/>
        <w:suppressAutoHyphens w:val="0"/>
        <w:autoSpaceDE w:val="0"/>
        <w:ind w:left="1440"/>
        <w:jc w:val="both"/>
        <w:textAlignment w:val="auto"/>
        <w:rPr>
          <w:i/>
        </w:rPr>
      </w:pPr>
      <w:r>
        <w:rPr>
          <w:i/>
        </w:rPr>
        <w:t>a) maksymalna intensywność zabudowy - 1,5,</w:t>
      </w:r>
    </w:p>
    <w:p w:rsidR="00D133FA" w:rsidRDefault="00D133FA" w:rsidP="00D133FA">
      <w:pPr>
        <w:pStyle w:val="Akapitzlist"/>
        <w:widowControl/>
        <w:suppressAutoHyphens w:val="0"/>
        <w:autoSpaceDE w:val="0"/>
        <w:ind w:left="1440"/>
        <w:jc w:val="both"/>
        <w:textAlignment w:val="auto"/>
        <w:rPr>
          <w:i/>
        </w:rPr>
      </w:pPr>
      <w:r>
        <w:rPr>
          <w:i/>
        </w:rPr>
        <w:t>b) minimalna intensywność zabudowy - 0,001,</w:t>
      </w:r>
    </w:p>
    <w:p w:rsidR="00D133FA" w:rsidRDefault="00D133FA" w:rsidP="00D133FA">
      <w:pPr>
        <w:pStyle w:val="Akapitzlist"/>
        <w:widowControl/>
        <w:suppressAutoHyphens w:val="0"/>
        <w:autoSpaceDE w:val="0"/>
        <w:ind w:left="1440"/>
        <w:jc w:val="both"/>
        <w:textAlignment w:val="auto"/>
        <w:rPr>
          <w:i/>
        </w:rPr>
      </w:pPr>
      <w:r>
        <w:rPr>
          <w:i/>
        </w:rPr>
        <w:t>c) maksymalna powierzchnia zabudowy w odniesieniu do powierzchni działki</w:t>
      </w:r>
    </w:p>
    <w:p w:rsidR="00D133FA" w:rsidRDefault="00D133FA" w:rsidP="00D133FA">
      <w:pPr>
        <w:pStyle w:val="Akapitzlist"/>
        <w:widowControl/>
        <w:suppressAutoHyphens w:val="0"/>
        <w:autoSpaceDE w:val="0"/>
        <w:ind w:left="1440"/>
        <w:jc w:val="both"/>
        <w:textAlignment w:val="auto"/>
        <w:rPr>
          <w:i/>
        </w:rPr>
      </w:pPr>
      <w:r>
        <w:rPr>
          <w:i/>
        </w:rPr>
        <w:t>budowlanej - 70%,</w:t>
      </w:r>
    </w:p>
    <w:p w:rsidR="00D133FA" w:rsidRDefault="00D133FA" w:rsidP="00D133FA">
      <w:pPr>
        <w:pStyle w:val="Akapitzlist"/>
        <w:widowControl/>
        <w:suppressAutoHyphens w:val="0"/>
        <w:autoSpaceDE w:val="0"/>
        <w:ind w:left="1440"/>
        <w:jc w:val="both"/>
        <w:textAlignment w:val="auto"/>
        <w:rPr>
          <w:i/>
        </w:rPr>
      </w:pPr>
      <w:r>
        <w:rPr>
          <w:i/>
        </w:rPr>
        <w:t>d) minimalny udział procentowy powierzchni biologicznie czynnej</w:t>
      </w:r>
    </w:p>
    <w:p w:rsidR="00D133FA" w:rsidRDefault="00D133FA" w:rsidP="00D133FA">
      <w:pPr>
        <w:pStyle w:val="Akapitzlist"/>
        <w:widowControl/>
        <w:suppressAutoHyphens w:val="0"/>
        <w:autoSpaceDE w:val="0"/>
        <w:ind w:left="1440"/>
        <w:jc w:val="both"/>
        <w:textAlignment w:val="auto"/>
        <w:rPr>
          <w:i/>
        </w:rPr>
      </w:pPr>
      <w:r>
        <w:rPr>
          <w:i/>
        </w:rPr>
        <w:t>w odniesieniu do powierzchni działki budowlanej - 20%,</w:t>
      </w:r>
    </w:p>
    <w:p w:rsidR="00D133FA" w:rsidRDefault="00D133FA" w:rsidP="00D133FA">
      <w:pPr>
        <w:pStyle w:val="Akapitzlist"/>
        <w:widowControl/>
        <w:suppressAutoHyphens w:val="0"/>
        <w:autoSpaceDE w:val="0"/>
        <w:ind w:left="1440"/>
        <w:jc w:val="both"/>
        <w:textAlignment w:val="auto"/>
        <w:rPr>
          <w:i/>
        </w:rPr>
      </w:pPr>
      <w:r>
        <w:rPr>
          <w:i/>
        </w:rPr>
        <w:t>e) maksymalna wysokość zabudowy - 14,0 m,</w:t>
      </w:r>
    </w:p>
    <w:p w:rsidR="00D133FA" w:rsidRDefault="00D133FA" w:rsidP="00D133FA">
      <w:pPr>
        <w:pStyle w:val="Akapitzlist"/>
        <w:widowControl/>
        <w:suppressAutoHyphens w:val="0"/>
        <w:autoSpaceDE w:val="0"/>
        <w:ind w:left="1440"/>
        <w:jc w:val="both"/>
        <w:textAlignment w:val="auto"/>
        <w:rPr>
          <w:i/>
        </w:rPr>
      </w:pPr>
      <w:r>
        <w:rPr>
          <w:i/>
        </w:rPr>
        <w:t>f) geometria dachu - dachy płaskie oraz dwuspadowe lub wielospadowe</w:t>
      </w:r>
    </w:p>
    <w:p w:rsidR="00D133FA" w:rsidRDefault="00D133FA" w:rsidP="00D133FA">
      <w:pPr>
        <w:pStyle w:val="Akapitzlist"/>
        <w:widowControl/>
        <w:suppressAutoHyphens w:val="0"/>
        <w:autoSpaceDE w:val="0"/>
        <w:ind w:left="1440"/>
        <w:jc w:val="both"/>
        <w:textAlignment w:val="auto"/>
        <w:rPr>
          <w:i/>
        </w:rPr>
      </w:pPr>
      <w:r>
        <w:rPr>
          <w:i/>
        </w:rPr>
        <w:t>o nachyleniu połaci dachowych do 45º;</w:t>
      </w:r>
    </w:p>
    <w:p w:rsidR="00D133FA" w:rsidRDefault="00D133FA" w:rsidP="00D133FA">
      <w:pPr>
        <w:pStyle w:val="Akapitzlist"/>
        <w:widowControl/>
        <w:suppressAutoHyphens w:val="0"/>
        <w:autoSpaceDE w:val="0"/>
        <w:ind w:left="1440"/>
        <w:jc w:val="both"/>
        <w:textAlignment w:val="auto"/>
        <w:rPr>
          <w:i/>
        </w:rPr>
      </w:pPr>
      <w:r>
        <w:rPr>
          <w:i/>
        </w:rPr>
        <w:t>5) minimalna powierzchnia nowo wydzielanych działek budowlanych - 900 m2;</w:t>
      </w:r>
    </w:p>
    <w:p w:rsidR="00D133FA" w:rsidRDefault="00D133FA" w:rsidP="00D133FA">
      <w:pPr>
        <w:pStyle w:val="Akapitzlist"/>
        <w:widowControl/>
        <w:suppressAutoHyphens w:val="0"/>
        <w:autoSpaceDE w:val="0"/>
        <w:ind w:left="1440"/>
        <w:jc w:val="both"/>
        <w:textAlignment w:val="auto"/>
        <w:rPr>
          <w:i/>
        </w:rPr>
      </w:pPr>
      <w:r>
        <w:rPr>
          <w:i/>
        </w:rPr>
        <w:t>6) ustalenia pkt 5 nie dotyczą wydzieleń działek w celu:</w:t>
      </w:r>
    </w:p>
    <w:p w:rsidR="00D133FA" w:rsidRDefault="00D133FA" w:rsidP="00D133FA">
      <w:pPr>
        <w:pStyle w:val="Akapitzlist"/>
        <w:widowControl/>
        <w:suppressAutoHyphens w:val="0"/>
        <w:autoSpaceDE w:val="0"/>
        <w:ind w:left="1440"/>
        <w:jc w:val="both"/>
        <w:textAlignment w:val="auto"/>
        <w:rPr>
          <w:i/>
        </w:rPr>
      </w:pPr>
      <w:r>
        <w:rPr>
          <w:i/>
        </w:rPr>
        <w:t>a) lokalizacji urządzeń i obiektów budowlanych infrastruktury technicznej,</w:t>
      </w:r>
    </w:p>
    <w:p w:rsidR="00D133FA" w:rsidRDefault="00D133FA" w:rsidP="00D133FA">
      <w:pPr>
        <w:pStyle w:val="Akapitzlist"/>
        <w:widowControl/>
        <w:suppressAutoHyphens w:val="0"/>
        <w:autoSpaceDE w:val="0"/>
        <w:ind w:left="1440"/>
        <w:jc w:val="both"/>
        <w:textAlignment w:val="auto"/>
        <w:rPr>
          <w:i/>
        </w:rPr>
      </w:pPr>
      <w:r>
        <w:rPr>
          <w:i/>
        </w:rPr>
        <w:t>b) lokalizacji nowych dróg wewnętrznych (w tym powstałych przed wejściem</w:t>
      </w:r>
    </w:p>
    <w:p w:rsidR="00D133FA" w:rsidRDefault="00D133FA" w:rsidP="00D133FA">
      <w:pPr>
        <w:pStyle w:val="Akapitzlist"/>
        <w:widowControl/>
        <w:suppressAutoHyphens w:val="0"/>
        <w:autoSpaceDE w:val="0"/>
        <w:ind w:left="1440"/>
        <w:jc w:val="both"/>
        <w:textAlignment w:val="auto"/>
        <w:rPr>
          <w:i/>
        </w:rPr>
      </w:pPr>
      <w:r>
        <w:rPr>
          <w:i/>
        </w:rPr>
        <w:lastRenderedPageBreak/>
        <w:t>w życie niniejszego planu),</w:t>
      </w:r>
    </w:p>
    <w:p w:rsidR="00D133FA" w:rsidRDefault="00D133FA" w:rsidP="00D133FA">
      <w:pPr>
        <w:pStyle w:val="Akapitzlist"/>
        <w:widowControl/>
        <w:suppressAutoHyphens w:val="0"/>
        <w:autoSpaceDE w:val="0"/>
        <w:ind w:left="1440"/>
        <w:jc w:val="both"/>
        <w:textAlignment w:val="auto"/>
        <w:rPr>
          <w:i/>
        </w:rPr>
      </w:pPr>
      <w:r>
        <w:rPr>
          <w:i/>
        </w:rPr>
        <w:t>c) powiększenia działek sąsiednich,</w:t>
      </w:r>
    </w:p>
    <w:p w:rsidR="00D133FA" w:rsidRDefault="00D133FA" w:rsidP="00D133FA">
      <w:pPr>
        <w:pStyle w:val="Akapitzlist"/>
        <w:widowControl/>
        <w:suppressAutoHyphens w:val="0"/>
        <w:autoSpaceDE w:val="0"/>
        <w:ind w:left="1440"/>
        <w:jc w:val="both"/>
        <w:textAlignment w:val="auto"/>
        <w:rPr>
          <w:i/>
        </w:rPr>
      </w:pPr>
      <w:r>
        <w:rPr>
          <w:i/>
        </w:rPr>
        <w:t>d) regulacji istniejących granic działek;</w:t>
      </w:r>
    </w:p>
    <w:p w:rsidR="00D133FA" w:rsidRDefault="00D133FA" w:rsidP="00D133FA">
      <w:pPr>
        <w:pStyle w:val="Akapitzlist"/>
        <w:widowControl/>
        <w:suppressAutoHyphens w:val="0"/>
        <w:autoSpaceDE w:val="0"/>
        <w:ind w:left="1440"/>
        <w:jc w:val="both"/>
        <w:textAlignment w:val="auto"/>
        <w:rPr>
          <w:i/>
        </w:rPr>
      </w:pPr>
      <w:r>
        <w:rPr>
          <w:i/>
        </w:rPr>
        <w:t>7) minimalna liczba miejsc do parkowania:</w:t>
      </w:r>
    </w:p>
    <w:p w:rsidR="00D133FA" w:rsidRDefault="00D133FA" w:rsidP="00D133FA">
      <w:pPr>
        <w:pStyle w:val="Akapitzlist"/>
        <w:widowControl/>
        <w:suppressAutoHyphens w:val="0"/>
        <w:autoSpaceDE w:val="0"/>
        <w:ind w:left="1440"/>
        <w:jc w:val="both"/>
        <w:textAlignment w:val="auto"/>
        <w:rPr>
          <w:i/>
        </w:rPr>
      </w:pPr>
      <w:r>
        <w:rPr>
          <w:i/>
        </w:rPr>
        <w:t>a) nakazuje się zapewnienie odpowiedniej ilości miejsc do parkowania</w:t>
      </w:r>
    </w:p>
    <w:p w:rsidR="00D133FA" w:rsidRDefault="00D133FA" w:rsidP="00D133FA">
      <w:pPr>
        <w:pStyle w:val="Akapitzlist"/>
        <w:widowControl/>
        <w:suppressAutoHyphens w:val="0"/>
        <w:autoSpaceDE w:val="0"/>
        <w:ind w:left="1440"/>
        <w:jc w:val="both"/>
        <w:textAlignment w:val="auto"/>
        <w:rPr>
          <w:i/>
        </w:rPr>
      </w:pPr>
      <w:r>
        <w:rPr>
          <w:i/>
        </w:rPr>
        <w:t>w granicach działki budowlanej według następujących wskaźników:</w:t>
      </w:r>
    </w:p>
    <w:p w:rsidR="00D133FA" w:rsidRDefault="00D133FA" w:rsidP="00D133FA">
      <w:pPr>
        <w:pStyle w:val="Akapitzlist"/>
        <w:widowControl/>
        <w:suppressAutoHyphens w:val="0"/>
        <w:autoSpaceDE w:val="0"/>
        <w:ind w:left="1440"/>
        <w:jc w:val="both"/>
        <w:textAlignment w:val="auto"/>
        <w:rPr>
          <w:i/>
        </w:rPr>
      </w:pPr>
      <w:r>
        <w:rPr>
          <w:i/>
        </w:rPr>
        <w:t>- dla zabudowy usługowej, rzemiosła - minimum 3 miejsca do parkowania</w:t>
      </w:r>
    </w:p>
    <w:p w:rsidR="00D133FA" w:rsidRDefault="00D133FA" w:rsidP="00D133FA">
      <w:pPr>
        <w:pStyle w:val="Akapitzlist"/>
        <w:widowControl/>
        <w:suppressAutoHyphens w:val="0"/>
        <w:autoSpaceDE w:val="0"/>
        <w:ind w:left="1440"/>
        <w:jc w:val="both"/>
        <w:textAlignment w:val="auto"/>
        <w:rPr>
          <w:i/>
        </w:rPr>
      </w:pPr>
      <w:r>
        <w:rPr>
          <w:i/>
        </w:rPr>
        <w:t>na każde rozpoczęte 100 m</w:t>
      </w:r>
      <w:r>
        <w:rPr>
          <w:i/>
          <w:vertAlign w:val="superscript"/>
        </w:rPr>
        <w:t>2</w:t>
      </w:r>
      <w:r>
        <w:rPr>
          <w:i/>
        </w:rPr>
        <w:t xml:space="preserve"> powierzchni użytkowej, ale nie mniej niż</w:t>
      </w:r>
    </w:p>
    <w:p w:rsidR="00D133FA" w:rsidRDefault="00D133FA" w:rsidP="00D133FA">
      <w:pPr>
        <w:pStyle w:val="Akapitzlist"/>
        <w:widowControl/>
        <w:suppressAutoHyphens w:val="0"/>
        <w:autoSpaceDE w:val="0"/>
        <w:ind w:left="1440"/>
        <w:jc w:val="both"/>
        <w:textAlignment w:val="auto"/>
        <w:rPr>
          <w:i/>
        </w:rPr>
      </w:pPr>
      <w:r>
        <w:rPr>
          <w:i/>
        </w:rPr>
        <w:t>3 miejsca do parkowania,</w:t>
      </w:r>
    </w:p>
    <w:p w:rsidR="00D133FA" w:rsidRDefault="00D133FA" w:rsidP="00D133FA">
      <w:pPr>
        <w:pStyle w:val="Akapitzlist"/>
        <w:widowControl/>
        <w:suppressAutoHyphens w:val="0"/>
        <w:autoSpaceDE w:val="0"/>
        <w:ind w:left="1440"/>
        <w:jc w:val="both"/>
        <w:textAlignment w:val="auto"/>
        <w:rPr>
          <w:i/>
        </w:rPr>
      </w:pPr>
      <w:r>
        <w:rPr>
          <w:i/>
        </w:rPr>
        <w:t>- dla magazynów - odpowiednia ilość miejsc postojowych dla maksymalnej</w:t>
      </w:r>
    </w:p>
    <w:p w:rsidR="00D133FA" w:rsidRDefault="00D133FA" w:rsidP="00D133FA">
      <w:pPr>
        <w:pStyle w:val="Akapitzlist"/>
        <w:widowControl/>
        <w:suppressAutoHyphens w:val="0"/>
        <w:autoSpaceDE w:val="0"/>
        <w:ind w:left="1440"/>
        <w:jc w:val="both"/>
        <w:textAlignment w:val="auto"/>
        <w:rPr>
          <w:i/>
        </w:rPr>
      </w:pPr>
      <w:r>
        <w:rPr>
          <w:i/>
        </w:rPr>
        <w:t>liczby wszystkich jednoczesnych użytkowników i pracowników obiektów,</w:t>
      </w:r>
    </w:p>
    <w:p w:rsidR="00D133FA" w:rsidRPr="00B32550" w:rsidRDefault="00D133FA" w:rsidP="00D133FA">
      <w:pPr>
        <w:pStyle w:val="Akapitzlist"/>
        <w:widowControl/>
        <w:suppressAutoHyphens w:val="0"/>
        <w:autoSpaceDE w:val="0"/>
        <w:ind w:left="1440"/>
        <w:jc w:val="both"/>
        <w:textAlignment w:val="auto"/>
        <w:rPr>
          <w:i/>
          <w:vertAlign w:val="superscript"/>
        </w:rPr>
      </w:pPr>
      <w:r>
        <w:rPr>
          <w:i/>
        </w:rPr>
        <w:t>lecz nie mniej niż 1 miejsce parkingowe na każde rozpoczęte 30 m</w:t>
      </w:r>
      <w:r>
        <w:rPr>
          <w:i/>
          <w:vertAlign w:val="superscript"/>
        </w:rPr>
        <w:t>2</w:t>
      </w:r>
    </w:p>
    <w:p w:rsidR="00D133FA" w:rsidRDefault="00D133FA" w:rsidP="00D133FA">
      <w:pPr>
        <w:pStyle w:val="Akapitzlist"/>
        <w:widowControl/>
        <w:suppressAutoHyphens w:val="0"/>
        <w:autoSpaceDE w:val="0"/>
        <w:ind w:left="1440"/>
        <w:jc w:val="both"/>
        <w:textAlignment w:val="auto"/>
        <w:rPr>
          <w:i/>
        </w:rPr>
      </w:pPr>
      <w:r>
        <w:rPr>
          <w:i/>
        </w:rPr>
        <w:t>powierzchni użytkowej budynków usługowych i biurowych lub tych części</w:t>
      </w:r>
    </w:p>
    <w:p w:rsidR="00D133FA" w:rsidRDefault="00D133FA" w:rsidP="00D133FA">
      <w:pPr>
        <w:pStyle w:val="Akapitzlist"/>
        <w:widowControl/>
        <w:suppressAutoHyphens w:val="0"/>
        <w:autoSpaceDE w:val="0"/>
        <w:ind w:left="1440"/>
        <w:jc w:val="both"/>
        <w:textAlignment w:val="auto"/>
        <w:rPr>
          <w:i/>
        </w:rPr>
      </w:pPr>
      <w:r>
        <w:rPr>
          <w:i/>
        </w:rPr>
        <w:t>budynków, które pełnią funkcję usługową i biurową z wyłączeniem funkcji</w:t>
      </w:r>
    </w:p>
    <w:p w:rsidR="00D133FA" w:rsidRDefault="00D133FA" w:rsidP="00D133FA">
      <w:pPr>
        <w:pStyle w:val="Akapitzlist"/>
        <w:widowControl/>
        <w:suppressAutoHyphens w:val="0"/>
        <w:autoSpaceDE w:val="0"/>
        <w:ind w:left="1440"/>
        <w:jc w:val="both"/>
        <w:textAlignment w:val="auto"/>
        <w:rPr>
          <w:i/>
        </w:rPr>
      </w:pPr>
      <w:r>
        <w:rPr>
          <w:i/>
        </w:rPr>
        <w:t>magazynowej i składowej,</w:t>
      </w:r>
    </w:p>
    <w:p w:rsidR="00D133FA" w:rsidRDefault="00D133FA" w:rsidP="00D133FA">
      <w:pPr>
        <w:pStyle w:val="Akapitzlist"/>
        <w:widowControl/>
        <w:suppressAutoHyphens w:val="0"/>
        <w:autoSpaceDE w:val="0"/>
        <w:ind w:left="1440"/>
        <w:jc w:val="both"/>
        <w:textAlignment w:val="auto"/>
        <w:rPr>
          <w:i/>
        </w:rPr>
      </w:pPr>
      <w:r>
        <w:rPr>
          <w:i/>
        </w:rPr>
        <w:t>b) w przypadku realizacji na działce zabudowy o funkcji mieszanej miejsca do</w:t>
      </w:r>
    </w:p>
    <w:p w:rsidR="00D133FA" w:rsidRDefault="00D133FA" w:rsidP="00D133FA">
      <w:pPr>
        <w:pStyle w:val="Akapitzlist"/>
        <w:widowControl/>
        <w:suppressAutoHyphens w:val="0"/>
        <w:autoSpaceDE w:val="0"/>
        <w:ind w:left="1440"/>
        <w:jc w:val="both"/>
        <w:textAlignment w:val="auto"/>
      </w:pPr>
      <w:r>
        <w:rPr>
          <w:i/>
        </w:rPr>
        <w:t>parkowania należy obliczyć i zapewnić oddzielnie dla każdej z funkcji."-</w:t>
      </w:r>
      <w:r>
        <w:t xml:space="preserve"> z przedłożonego wniosku oraz załączonego do niego projektu wynika, że został on sporządzony w oparciu o decyzję Wójta Gminy Lesznowola nr 14/2021 z dnia 14 grudnia 2021 r. , przeniesioną decyzją nr 5/2022 z dnia 24 marca 2022 r., ustalającą warunki zabudowy dla działek objętych przedmiotowym wnioskiem- jednakże  w związku z wejściem  w  życie miejscowego planu zagospodarowania przestrzennego na danym obszarze, zatwierdzonym wyżej wspomnianą uchwałą nr 578/XLVIII/2022  z dnia 24 marca 2022 r. , decyzja ta uległa wygaśnięciu, dlatego inwestycja powinna w całości spełniać wymogi uchwalonego miejscowego planu zagospodarowania przestrzennego. W związku z czym należy dokładnie wykazać spełnienie jego wymogów, począwszy od przeznaczenia- zgodnie z powyższym zapisem planu, na danym obszarze </w:t>
      </w:r>
      <w:r w:rsidRPr="00680E99">
        <w:rPr>
          <w:u w:val="single"/>
        </w:rPr>
        <w:t>nie dopuszcza się budynków o funkcji produkcyjnej</w:t>
      </w:r>
      <w:r>
        <w:t xml:space="preserve">- w związku z czym inwestycję należy doprowadzić do zgodności z planem w zakresie funkcji budynku. Informujemy także, że zawarta w </w:t>
      </w:r>
      <w:r>
        <w:rPr>
          <w:rFonts w:ascii="Times New Roman" w:hAnsi="Times New Roman" w:cs="Times New Roman"/>
        </w:rPr>
        <w:t>§</w:t>
      </w:r>
      <w:r>
        <w:t xml:space="preserve"> 5 pkt 2 miejscowego planu definicja przeznaczenia podstawowego, brzmiąca: ”</w:t>
      </w:r>
      <w:r w:rsidRPr="0020175F">
        <w:rPr>
          <w:i/>
        </w:rPr>
        <w:t>Ilekroć w niniejszej uchwale jest mowa o: przeznaczeniu podstawowym- należy przez to rozumieć określony w planie rodzaj przeznaczenia, który dominuje lub będzie dominował na danym obszarze</w:t>
      </w:r>
      <w:r>
        <w:t xml:space="preserve">” , oraz w </w:t>
      </w:r>
      <w:r>
        <w:rPr>
          <w:rFonts w:ascii="Times New Roman" w:hAnsi="Times New Roman" w:cs="Times New Roman"/>
        </w:rPr>
        <w:t>§</w:t>
      </w:r>
      <w:r>
        <w:t xml:space="preserve"> 5 pkt 3 przeznaczenia dopuszczalnego, którym  jest: </w:t>
      </w:r>
      <w:r w:rsidRPr="0020175F">
        <w:rPr>
          <w:i/>
        </w:rPr>
        <w:t>”(…) określony w planie rodzaj przeznaczenia inny niż podstawowy, który uzupełnia lub wzbogaca przeznaczenie podstawowe, oraz nie powoduje kolizji z przeznaczeniem podstawowym</w:t>
      </w:r>
      <w:r>
        <w:t xml:space="preserve">” - wymusza dokładną analizę obszaru oddziaływania w zakresie spełnienia tego wymogu w odniesieniu do całego obszaru znajdującego w tej samej jednostce planistycznej, dla której obowiązują te same zasady przeznaczenia terenu,  w związku z czym w informacji o obszarze oddziaływania należy podać dane wynikające z takiej analizy. Należy także pamiętać by dokładnie opisać jaką funkcję będzie pełnił planowany budynek, wyjaśniając jaki  rodzaj usług przewiduje się wykonywać- dokładnie wskazując technologię, oraz jasno wskazać jaki rodzaj materiałów będzie w budynku magazynowany. Należy także pamiętać o spełnieniu wszystkich wskaźników jak np. intensywność zabudowy, ilość miejsc postojowych, czy powierzchnia biologicznie czynna- dokładnie sporządzając bilans terenu, w  którym należy uwzględnić wszystkie obiekty </w:t>
      </w:r>
      <w:r>
        <w:lastRenderedPageBreak/>
        <w:t xml:space="preserve">wyłączające grunt z powierzchni biologicznie czynnej mając na uwadze jej definicję wynikającą z </w:t>
      </w:r>
      <w:r w:rsidRPr="00B95FCE">
        <w:rPr>
          <w:rFonts w:ascii="Times New Roman" w:hAnsi="Times New Roman" w:cs="Times New Roman"/>
        </w:rPr>
        <w:t>§</w:t>
      </w:r>
      <w:r>
        <w:t xml:space="preserve"> 5 ust. 1 pkt 5, brzmiącym: "</w:t>
      </w:r>
      <w:r w:rsidRPr="00B95FCE">
        <w:rPr>
          <w:i/>
        </w:rPr>
        <w:t>Ilekroć w uchwale jest mowa o: powierzchni biologicznie czynnej - należy przez to rozumieć grunt rodzimy pokryty roślinnością oraz wodą powierzchniową na działce budowlanej, który pozostaje niezabudowany i nieutwardzony; w szczególności za powierzchnię biologicznie czynną nie uznaje się: zieleni projektowanej na dachach i ścianach budynków, budowli nadziemnych i podziemnych oraz na płytach ażurowych;</w:t>
      </w:r>
      <w:r>
        <w:t>", czyli należy w bilansie wyszczególnić każdy budynek (poza głównym objętym wnioskiem, także budynek portierni, pompowni), oraz każdy inny obiekt budowlany, tak by organ nie miał wątpliwości, że w bilansie zostały ujęte wszelkie elementy zagospodarowania, które wyłączają grunt z powierzchni biologicznie czynnej. onadto organ informuje, że wyliczając intensywność zabudowy, którą jest stosunek powierzchni każdej kondygnacji w obrysie ścian zewnętrznych każdego budynku, w stosunku do powierzchni nieruchomości inwestycyjnej - konieczne jest na etapie zatwierdzania projektu budowlanego określenie docelowej liczby kondygnacji. Wyjaśniamy, że zgodnie z art. 5 ust.1 ustawy Prawo budowlane, który stanowi: "</w:t>
      </w:r>
      <w:r w:rsidRPr="00B95FCE">
        <w:rPr>
          <w:i/>
        </w:rPr>
        <w:t xml:space="preserve"> Obiekt budowlany jako całość oraz jego poszczególne części, wraz ze związanymi z nim urządzeniami budowlanymi należy, biorąc pod uwagę przewidywany okres użytkowania, projektować i budować w sposób określony w przepisach, w tym techniczno-budowlanych, oraz zgodnie z zasadami wiedzy technicznej, zapewniając: 1) spełnienie podstawowych wymagań dotyczących obiektów budowlanych określonych w załączniku I do rozporządzenia Parlamentu Europejskiego i Rady (UE) Nr 305/2011 z dnia 9 marca 2011 r. ustanawiającego zharmonizowane warunki wprowadzania do obrotu wyrobów budowlanych i uchylającego dyrektywę Rady 89/106/EWG (Dz. Urz. UE L 88 z 04.04.2011, str. 5, z późn. zm.), dotyczących: a) nośności i stateczności konstrukcji, b) bezpieczeństwa pożarowego, c) higieny, zdrowia i środowiska, d) bezpieczeństwa użytkowania i dostępności obiektów, e) ochrony przed hałasem, f) oszczędności energii i izolacyjności cieplnej, g) zrównoważonego wykorzystania zasobów naturalnych; 2) warunki użytkowe zgodne z przeznaczeniem obiektu, w szczególności w zakresie: a) zaopatrzenia w wodę i energię elektryczną oraz, odpowiednio do potrzeb, w energię cieplną i paliwa, przy założeniu efektywnego wykorzystania tych czynników, b) usuwania ścieków, wody opadowej i odpadów; 2a) możliwość dostępu do usług telekomunikacyjnych, w szczególności w zakresie szerokopasmowego dostępu do Internetu; 3) możliwość utrzymania właściwego stanu technicznego;(...)- </w:t>
      </w:r>
      <w:r>
        <w:t xml:space="preserve"> co należy rozumieć, że pozwolenie na budowę może być udzielone na konkretny obiekt budowlany/obiekty budowlane,  w tej sytuacji budynek o kilku różnych funkcjach, w którym jasno określono ilość przewidzianych kondygnacji, rodzaj pomieszczeń, tym samym wykazując spełnienie wszelkich przepisów niezbędnych dla tego typu budynku- a co jest niemożliwe w przypadku, gdy projekt jest niekompletny, bo za taki należy uznać informację "rezerwa pod prognozowane dwukondygnacyjne biura". Nie ma możliwości zatwierdzić projektu z prognozowanymi kondygnacjami, których się nie wrysowuje, nie ujmuje w intensywności zabudowy, nie przedstawia się ich rzutu, rozmieszczenia pomieszczeń biurowych, socjalnych, łazienek, w tym dla niepełnosprawnych, żadnego połączenia komunikacyjnego z kondygnacją pierwszą, jak również żadnych rozwiązań dla niepełnosprawnych </w:t>
      </w:r>
      <w:r>
        <w:lastRenderedPageBreak/>
        <w:t>pozwalających na dostęp do tej kondygnacji, nie wykazuje się pełnienia warunków ochrony przeciwpożarowej - organ nie zatwierdzi hipotetycznie prognozowanych kondygnacji, oraz mających się na nich znajdować pomieszczeń. Wszelkie odstąpienie od projektu budowlanego w zakresie ilości kondygnacji, w myśl art. 36a Prawa budowlanego jest istotną zmianą podlegającą zatwierdzeniu projektem zamiennym, dlatego tak ważne jest dokładne wskazanie ilości projektowanych kondygnacji w przedłożonej do zatwierdzenia dokumentacji projektowej. Zatem należy przedłożyć konkretne rozwiązania projektowe, które organ ma zatwierdzić na dzień wydania decyzji;</w:t>
      </w:r>
    </w:p>
    <w:p w:rsidR="00D133FA" w:rsidRDefault="00D133FA" w:rsidP="00906F51">
      <w:pPr>
        <w:pStyle w:val="Akapitzlist"/>
        <w:widowControl/>
        <w:numPr>
          <w:ilvl w:val="0"/>
          <w:numId w:val="26"/>
        </w:numPr>
        <w:pBdr>
          <w:top w:val="none" w:sz="0" w:space="0" w:color="auto"/>
          <w:left w:val="none" w:sz="0" w:space="0" w:color="auto"/>
          <w:bottom w:val="none" w:sz="0" w:space="0" w:color="auto"/>
          <w:right w:val="none" w:sz="0" w:space="0" w:color="auto"/>
        </w:pBdr>
        <w:suppressAutoHyphens w:val="0"/>
        <w:autoSpaceDE w:val="0"/>
        <w:autoSpaceDN w:val="0"/>
        <w:jc w:val="both"/>
        <w:textAlignment w:val="auto"/>
      </w:pPr>
      <w:r>
        <w:t>Projekt doprowadzić do zgodności z rozporządzeniem Ministra Infrastruktury z dnia 12 kwietnia 2002 r. w sprawie warunków technicznych, jakim powinny odpowiadać budynki i ich usytuowanie (t.j. Dz. U. z 2019 r. poz. 1065 ze zm.), w zakresie:</w:t>
      </w:r>
    </w:p>
    <w:p w:rsidR="00D133FA" w:rsidRDefault="00D133FA" w:rsidP="00906F51">
      <w:pPr>
        <w:pStyle w:val="Akapitzlist"/>
        <w:widowControl/>
        <w:numPr>
          <w:ilvl w:val="0"/>
          <w:numId w:val="28"/>
        </w:numPr>
        <w:pBdr>
          <w:top w:val="none" w:sz="0" w:space="0" w:color="auto"/>
          <w:left w:val="none" w:sz="0" w:space="0" w:color="auto"/>
          <w:bottom w:val="none" w:sz="0" w:space="0" w:color="auto"/>
          <w:right w:val="none" w:sz="0" w:space="0" w:color="auto"/>
        </w:pBdr>
        <w:suppressAutoHyphens w:val="0"/>
        <w:autoSpaceDE w:val="0"/>
        <w:autoSpaceDN w:val="0"/>
        <w:jc w:val="both"/>
        <w:textAlignment w:val="auto"/>
      </w:pPr>
      <w:r>
        <w:rPr>
          <w:rFonts w:ascii="Times New Roman" w:hAnsi="Times New Roman" w:cs="Times New Roman"/>
        </w:rPr>
        <w:t>§</w:t>
      </w:r>
      <w:r>
        <w:t xml:space="preserve"> 16 ust. 1 , który stanowi, że : " </w:t>
      </w:r>
      <w:r>
        <w:rPr>
          <w:i/>
        </w:rPr>
        <w:t xml:space="preserve">Do wejść do budynku mieszkalnego wielorodzinnego, zamieszkania zbiorowego i użyteczności publicznej powinny być doprowadzone od dojść i dojazdów, o których mowa w § 14 ust. 1 i 3, utwardzone dojścia o szerokości minimalnej 1,5 m, przy czym co najmniej jedno dojście powinno zapewniać osobom niepełnosprawnym dostęp do całego budynku lub tych jego części, z których osoby te mogą korzystać"- </w:t>
      </w:r>
      <w:r>
        <w:t xml:space="preserve"> w projekcie podano informację, że nie planuje się zatrudniać osób niepełnosprawnych, jednakże należy zapewnić dostęp dla osób niepełnosprawnych, którymi mogą być osoby z zewnątrz (klienci, lub pracownicy równych służb - np. inspektoratu sanitarno-epidemiologicznego, których nie można w najmniejszy sposób dyskryminować utrudniając możliwość wejścia na teren całego budynku) - z podanej rzędnej poziomu posadzki parteru wynika, że budynek został wyniesiony względem poziomu gruntu o 2,0 m, co jest niedozwolone, a co również budzi wątpliwość co do poziomu dojść do budynku, w tym przede wszystkim dla osób niepełnosprawnych - dlatego należy tę kwestię wyjaśnić, wykazując, że będzie spełniony przywołany przepis, gwarantując osobom niepełnosprawnym dojście i dojazd do całego budynku;</w:t>
      </w:r>
    </w:p>
    <w:p w:rsidR="00D133FA" w:rsidRDefault="00D133FA" w:rsidP="00906F51">
      <w:pPr>
        <w:pStyle w:val="Akapitzlist"/>
        <w:widowControl/>
        <w:numPr>
          <w:ilvl w:val="0"/>
          <w:numId w:val="28"/>
        </w:numPr>
        <w:pBdr>
          <w:top w:val="none" w:sz="0" w:space="0" w:color="auto"/>
          <w:left w:val="none" w:sz="0" w:space="0" w:color="auto"/>
          <w:bottom w:val="none" w:sz="0" w:space="0" w:color="auto"/>
          <w:right w:val="none" w:sz="0" w:space="0" w:color="auto"/>
        </w:pBdr>
        <w:suppressAutoHyphens w:val="0"/>
        <w:autoSpaceDE w:val="0"/>
        <w:autoSpaceDN w:val="0"/>
        <w:jc w:val="both"/>
        <w:textAlignment w:val="auto"/>
      </w:pPr>
      <w:r>
        <w:rPr>
          <w:rFonts w:ascii="Times New Roman" w:hAnsi="Times New Roman" w:cs="Times New Roman"/>
        </w:rPr>
        <w:t>§</w:t>
      </w:r>
      <w:r>
        <w:t xml:space="preserve"> 54 ust. 1, który brzmi : "</w:t>
      </w:r>
      <w:r>
        <w:rPr>
          <w:i/>
        </w:rPr>
        <w:t>Budynek użyteczności publicznej, budynek mieszkalny wielorodzinny, budynek zamieszkania zbiorowego, z wyłączeniem budynków zamieszkania zbiorowego na terenach zamkniętych, oraz każdy inny budynek mający najwyższą kondygnację z pomieszczeniami przeznaczonymi na pobyt więcej niż 50 osób, w których różnica poziomów posadzek pomiędzy pierwszą a najwyższą kondygnacją nadziemną, niestanowiącą drugiego poziomu w mieszkaniu dwupoziomowym, przekracza 9,5 m, a także mający dwie lub więcej kondygnacji nadziemnych budynek opieki zdrowotnej i budynek opieki społecznej, należy wyposażyć w dźwig osobowy</w:t>
      </w:r>
      <w:r>
        <w:t>." - projekt należy doprowadzić do zgodności z przywołanym paragrafem. Organ informuje, że nie jest dopuszczalnym przedstawiać w projekcie "rezerwę" na kolejną kondygnację. W sytuacji gdy inwestora zamiarem jest by w obiekcie były dwie kondygnacje, należy bezwzględnie ją wrysować i wykazać spełnienie tego przepisu, tak samo jak w poprzednim ppkt nr 1, nie dyskryminując osób niepełnosprawnym, zapewniając im dostęp do każdej kondygnacji planowanego budynku;</w:t>
      </w:r>
    </w:p>
    <w:p w:rsidR="00D133FA" w:rsidRDefault="00D133FA" w:rsidP="00906F51">
      <w:pPr>
        <w:pStyle w:val="Akapitzlist"/>
        <w:widowControl/>
        <w:numPr>
          <w:ilvl w:val="0"/>
          <w:numId w:val="28"/>
        </w:numPr>
        <w:pBdr>
          <w:top w:val="none" w:sz="0" w:space="0" w:color="auto"/>
          <w:left w:val="none" w:sz="0" w:space="0" w:color="auto"/>
          <w:bottom w:val="none" w:sz="0" w:space="0" w:color="auto"/>
          <w:right w:val="none" w:sz="0" w:space="0" w:color="auto"/>
        </w:pBdr>
        <w:suppressAutoHyphens w:val="0"/>
        <w:autoSpaceDE w:val="0"/>
        <w:autoSpaceDN w:val="0"/>
        <w:jc w:val="both"/>
        <w:textAlignment w:val="auto"/>
      </w:pPr>
      <w:r>
        <w:rPr>
          <w:rFonts w:ascii="Times New Roman" w:hAnsi="Times New Roman" w:cs="Times New Roman"/>
        </w:rPr>
        <w:t>§</w:t>
      </w:r>
      <w:r>
        <w:t xml:space="preserve"> 56, który brzmi : "</w:t>
      </w:r>
      <w:r>
        <w:rPr>
          <w:i/>
        </w:rPr>
        <w:t xml:space="preserve">Budynek mieszkalny wielorodzinny, budynek zamieszkania zbiorowego i budynek użyteczności publicznej powinien być wyposażony w instalację telekomunikacyjną, a w miarę potrzeby również w inne instalacje, takie jak: telewizji przemysłowej, sygnalizacji dzwonkowej lub domofonowej, w </w:t>
      </w:r>
      <w:r>
        <w:rPr>
          <w:i/>
        </w:rPr>
        <w:lastRenderedPageBreak/>
        <w:t>sposób umożliwiający zapewnienie ochrony instalacji przed dostępem osób nieuprawnionych."</w:t>
      </w:r>
      <w:r>
        <w:t xml:space="preserve"> -  zgodnie z przywołanym przepisem, w projektowanym budynku należy zaprojektować instalację teletechniczną, którą w rozumieniu </w:t>
      </w:r>
      <w:r>
        <w:rPr>
          <w:rFonts w:ascii="Times New Roman" w:hAnsi="Times New Roman" w:cs="Times New Roman"/>
        </w:rPr>
        <w:t>§</w:t>
      </w:r>
      <w:r>
        <w:t xml:space="preserve"> 192 c jest: " </w:t>
      </w:r>
      <w:r>
        <w:rPr>
          <w:i/>
        </w:rPr>
        <w:t>Instalację telekomunikacyjną budynku zamieszkania zbiorowego i budynku użyteczności publicznej, z zastrzeżeniem § 192d, stanowi w szczególności:</w:t>
      </w:r>
    </w:p>
    <w:p w:rsidR="00D133FA" w:rsidRDefault="00D133FA" w:rsidP="00D133FA">
      <w:pPr>
        <w:pStyle w:val="Akapitzlist"/>
        <w:widowControl/>
        <w:suppressAutoHyphens w:val="0"/>
        <w:autoSpaceDE w:val="0"/>
        <w:ind w:left="1440"/>
        <w:jc w:val="both"/>
        <w:textAlignment w:val="auto"/>
      </w:pPr>
      <w:r>
        <w:rPr>
          <w:i/>
        </w:rPr>
        <w:t>1) kanalizacja telekomunikacyjna budynku, rozumiana jako ciąg elementów osłonowych umożliwiających wprowadzenie kabli do budynku oraz ich rozprowadzenie w budynku, w tym między innymi przepustów kablowych, rur instalacyjnych, szybów instalacyjnych, koryt, duktów i kanałów instalacyjnych;</w:t>
      </w:r>
    </w:p>
    <w:p w:rsidR="00D133FA" w:rsidRDefault="00D133FA" w:rsidP="00D133FA">
      <w:pPr>
        <w:pStyle w:val="Akapitzlist"/>
        <w:widowControl/>
        <w:suppressAutoHyphens w:val="0"/>
        <w:autoSpaceDE w:val="0"/>
        <w:ind w:left="1440"/>
        <w:jc w:val="both"/>
        <w:textAlignment w:val="auto"/>
      </w:pPr>
      <w:r>
        <w:rPr>
          <w:i/>
        </w:rPr>
        <w:t>2) elementy infrastruktury telekomunikacyjnej, w tym kable i przewody wraz z osprzętem instalacyjnym i urządzeniami telekomunikacyjnymi, począwszy od przełącznicy zlokalizowanej w punkcie połączenia z publiczną siecią telekomunikacyjną lub od urządzenia systemu radiowego do wyjścia gniazda abonenckiego;";</w:t>
      </w:r>
    </w:p>
    <w:p w:rsidR="00D133FA" w:rsidRDefault="00D133FA" w:rsidP="00906F51">
      <w:pPr>
        <w:pStyle w:val="Akapitzlist"/>
        <w:widowControl/>
        <w:numPr>
          <w:ilvl w:val="0"/>
          <w:numId w:val="28"/>
        </w:numPr>
        <w:pBdr>
          <w:top w:val="none" w:sz="0" w:space="0" w:color="auto"/>
          <w:left w:val="none" w:sz="0" w:space="0" w:color="auto"/>
          <w:bottom w:val="none" w:sz="0" w:space="0" w:color="auto"/>
          <w:right w:val="none" w:sz="0" w:space="0" w:color="auto"/>
        </w:pBdr>
        <w:suppressAutoHyphens w:val="0"/>
        <w:autoSpaceDE w:val="0"/>
        <w:autoSpaceDN w:val="0"/>
        <w:jc w:val="both"/>
        <w:textAlignment w:val="auto"/>
      </w:pPr>
      <w:r>
        <w:t xml:space="preserve">Wykazanie spełnienia </w:t>
      </w:r>
      <w:r>
        <w:rPr>
          <w:rFonts w:ascii="Times New Roman" w:hAnsi="Times New Roman" w:cs="Times New Roman"/>
        </w:rPr>
        <w:t>§</w:t>
      </w:r>
      <w:r>
        <w:t xml:space="preserve"> 209, który brzmi : "</w:t>
      </w:r>
      <w:r>
        <w:rPr>
          <w:i/>
        </w:rPr>
        <w:t>1</w:t>
      </w:r>
      <w:r>
        <w:t xml:space="preserve">. </w:t>
      </w:r>
      <w:r>
        <w:rPr>
          <w:i/>
        </w:rPr>
        <w:t>Budynki oraz części budynków, stanowiące odrębne strefy pożarowe w rozumieniu § 226, z uwagi na przeznaczenie i sposób użytkowania, dzieli się na:</w:t>
      </w:r>
    </w:p>
    <w:p w:rsidR="00D133FA" w:rsidRDefault="00D133FA" w:rsidP="00D133FA">
      <w:pPr>
        <w:pStyle w:val="Akapitzlist"/>
        <w:widowControl/>
        <w:suppressAutoHyphens w:val="0"/>
        <w:autoSpaceDE w:val="0"/>
        <w:ind w:left="1440"/>
        <w:jc w:val="both"/>
        <w:textAlignment w:val="auto"/>
      </w:pPr>
      <w:r>
        <w:rPr>
          <w:i/>
        </w:rPr>
        <w:t>1) mieszkalne, zamieszkania zbiorowego i użyteczności publicznej charakteryzowane kategorią zagrożenia ludzi, określane dalej jako ZL;</w:t>
      </w:r>
    </w:p>
    <w:p w:rsidR="00D133FA" w:rsidRDefault="00D133FA" w:rsidP="00D133FA">
      <w:pPr>
        <w:pStyle w:val="Akapitzlist"/>
        <w:widowControl/>
        <w:suppressAutoHyphens w:val="0"/>
        <w:autoSpaceDE w:val="0"/>
        <w:ind w:left="1440"/>
        <w:jc w:val="both"/>
        <w:textAlignment w:val="auto"/>
        <w:rPr>
          <w:i/>
        </w:rPr>
      </w:pPr>
      <w:r>
        <w:rPr>
          <w:i/>
        </w:rPr>
        <w:t>2) produkcyjne i magazynowe, określane dalej jako PM;</w:t>
      </w:r>
    </w:p>
    <w:p w:rsidR="00D133FA" w:rsidRDefault="00D133FA" w:rsidP="00D133FA">
      <w:pPr>
        <w:pStyle w:val="Akapitzlist"/>
        <w:widowControl/>
        <w:suppressAutoHyphens w:val="0"/>
        <w:autoSpaceDE w:val="0"/>
        <w:ind w:left="1440"/>
        <w:jc w:val="both"/>
        <w:textAlignment w:val="auto"/>
      </w:pPr>
      <w:r>
        <w:rPr>
          <w:i/>
        </w:rPr>
        <w:t xml:space="preserve">3) inwentarskie (służące do hodowli inwentarza), określane dalej jako IN. </w:t>
      </w:r>
      <w:r>
        <w:rPr>
          <w:i/>
        </w:rPr>
        <w:br/>
        <w:t>2. Budynki oraz części budynków, stanowiące odrębne strefy pożarowe, określane jako ZL, zalicza się do jednej lub do więcej niż jedna spośród następujących kategorii zagrożenia ludzi:</w:t>
      </w:r>
    </w:p>
    <w:p w:rsidR="00D133FA" w:rsidRDefault="00D133FA" w:rsidP="00D133FA">
      <w:pPr>
        <w:pStyle w:val="Akapitzlist"/>
        <w:widowControl/>
        <w:suppressAutoHyphens w:val="0"/>
        <w:autoSpaceDE w:val="0"/>
        <w:ind w:left="1440"/>
        <w:jc w:val="both"/>
        <w:textAlignment w:val="auto"/>
      </w:pPr>
      <w:r>
        <w:rPr>
          <w:i/>
        </w:rPr>
        <w:t>1) ZL I – zawierające pomieszczenia przeznaczone do jednoczesnego przebywania ponad 50 osób niebędących ich stałymi użytkownikami, a nieprzeznaczone przede wszystkim do użytku ludzi o ograniczonej zdolności poruszania się;</w:t>
      </w:r>
    </w:p>
    <w:p w:rsidR="00D133FA" w:rsidRDefault="00D133FA" w:rsidP="00D133FA">
      <w:pPr>
        <w:pStyle w:val="Akapitzlist"/>
        <w:widowControl/>
        <w:suppressAutoHyphens w:val="0"/>
        <w:autoSpaceDE w:val="0"/>
        <w:ind w:left="1440"/>
        <w:jc w:val="both"/>
        <w:textAlignment w:val="auto"/>
      </w:pPr>
      <w:r>
        <w:rPr>
          <w:i/>
        </w:rPr>
        <w:t>2) ZL II – przeznaczone przede wszystkim do użytku ludzi o ograniczonej zdolności poruszania się, takie jak szpitale, żłobki, przedszkola, domy dla osób starszych;</w:t>
      </w:r>
    </w:p>
    <w:p w:rsidR="00D133FA" w:rsidRDefault="00D133FA" w:rsidP="00D133FA">
      <w:pPr>
        <w:pStyle w:val="Akapitzlist"/>
        <w:widowControl/>
        <w:suppressAutoHyphens w:val="0"/>
        <w:autoSpaceDE w:val="0"/>
        <w:ind w:left="1440"/>
        <w:jc w:val="both"/>
        <w:textAlignment w:val="auto"/>
        <w:rPr>
          <w:i/>
        </w:rPr>
      </w:pPr>
      <w:r>
        <w:rPr>
          <w:i/>
        </w:rPr>
        <w:t>3) ZL III – użyteczności publicznej, niezakwalifikowane do ZL I i ZL II;</w:t>
      </w:r>
    </w:p>
    <w:p w:rsidR="00D133FA" w:rsidRDefault="00D133FA" w:rsidP="00D133FA">
      <w:pPr>
        <w:pStyle w:val="Akapitzlist"/>
        <w:widowControl/>
        <w:suppressAutoHyphens w:val="0"/>
        <w:autoSpaceDE w:val="0"/>
        <w:ind w:left="1440"/>
        <w:jc w:val="both"/>
        <w:textAlignment w:val="auto"/>
        <w:rPr>
          <w:i/>
        </w:rPr>
      </w:pPr>
      <w:r>
        <w:rPr>
          <w:i/>
        </w:rPr>
        <w:t>4) ZL IV – mieszkalne;</w:t>
      </w:r>
    </w:p>
    <w:p w:rsidR="00D133FA" w:rsidRDefault="00D133FA" w:rsidP="00D133FA">
      <w:pPr>
        <w:pStyle w:val="Akapitzlist"/>
        <w:widowControl/>
        <w:suppressAutoHyphens w:val="0"/>
        <w:autoSpaceDE w:val="0"/>
        <w:ind w:left="1440"/>
        <w:jc w:val="both"/>
        <w:textAlignment w:val="auto"/>
        <w:rPr>
          <w:i/>
        </w:rPr>
      </w:pPr>
      <w:r>
        <w:rPr>
          <w:i/>
        </w:rPr>
        <w:t>5) ZL V – zamieszkania zbiorowego, niezakwalifikowane do ZL I i ZL II.</w:t>
      </w:r>
    </w:p>
    <w:p w:rsidR="00D133FA" w:rsidRDefault="00D133FA" w:rsidP="00D133FA">
      <w:pPr>
        <w:pStyle w:val="Akapitzlist"/>
        <w:widowControl/>
        <w:suppressAutoHyphens w:val="0"/>
        <w:autoSpaceDE w:val="0"/>
        <w:ind w:left="1440"/>
        <w:jc w:val="both"/>
        <w:textAlignment w:val="auto"/>
      </w:pPr>
      <w:r>
        <w:rPr>
          <w:i/>
        </w:rPr>
        <w:t>3. Wymagania dotyczące bezpieczeństwa pożarowego budynków oraz części budynków stanowiących odrębne strefy pożarowe, określanych jako PM, odnoszą się również do garaży, hydroforni, kotłowni, węzłów ciepłowniczych, rozdzielni elektrycznych, stacji transformatorowych, central telefonicznych oraz innych o podobnym przeznaczeniu.</w:t>
      </w:r>
    </w:p>
    <w:p w:rsidR="00D133FA" w:rsidRDefault="00D133FA" w:rsidP="00D133FA">
      <w:pPr>
        <w:pStyle w:val="Akapitzlist"/>
        <w:widowControl/>
        <w:suppressAutoHyphens w:val="0"/>
        <w:autoSpaceDE w:val="0"/>
        <w:ind w:left="1440"/>
        <w:jc w:val="both"/>
        <w:textAlignment w:val="auto"/>
      </w:pPr>
      <w:r>
        <w:rPr>
          <w:i/>
        </w:rPr>
        <w:t>4. Wymagania dotyczące bezpieczeństwa pożarowego budynków oraz części budynków stanowiących odrębne strefy pożarowe, określanych jako IN, odnoszą się również do takich budynków w zabudowie zagrodowej o kubaturze brutto nieprzekraczającej 1500 m</w:t>
      </w:r>
      <w:r>
        <w:rPr>
          <w:i/>
          <w:vertAlign w:val="superscript"/>
        </w:rPr>
        <w:t>3</w:t>
      </w:r>
      <w:r>
        <w:rPr>
          <w:i/>
        </w:rPr>
        <w:t xml:space="preserve"> , jak stodoły, budynki do przechowywania płodów rolnych i budynki gospodarcze.</w:t>
      </w:r>
    </w:p>
    <w:p w:rsidR="00D133FA" w:rsidRDefault="00D133FA" w:rsidP="00D133FA">
      <w:pPr>
        <w:pStyle w:val="Akapitzlist"/>
        <w:widowControl/>
        <w:suppressAutoHyphens w:val="0"/>
        <w:autoSpaceDE w:val="0"/>
        <w:ind w:left="1440"/>
        <w:jc w:val="both"/>
        <w:textAlignment w:val="auto"/>
      </w:pPr>
      <w:r>
        <w:rPr>
          <w:i/>
        </w:rPr>
        <w:t xml:space="preserve">5. Strefy pożarowe zaliczone, z uwagi na przeznaczenie i sposób użytkowania, do więcej niż jednej kategorii zagrożenia ludzi, powinny spełniać wymagania określone dla każdej z tych kategorii."- </w:t>
      </w:r>
      <w:r>
        <w:t xml:space="preserve">zgodnie z powyższym przepisem należy dokładnie wskazać strefy pożarowe, dla każdej z projektowanych części </w:t>
      </w:r>
      <w:r>
        <w:lastRenderedPageBreak/>
        <w:t>(funkcji) budynku, oraz w odniesieniu do nich wykazać odporność ogniową, w tym dla elementów konstrukcyjnych- w związku z czym ważnym jest by jasno określić jaki rodzaj materiałów będzie w budynku magazynowany, jaki rodzaj usług prowadzony, oraz jaka ilość osób będzie w budynku jednocześnie przebywała - co ma ogromny wpływ na zastosowane rozwiązania ochrony przeciwpożarowej;</w:t>
      </w:r>
    </w:p>
    <w:p w:rsidR="00D133FA" w:rsidRDefault="00D133FA" w:rsidP="00D133FA">
      <w:pPr>
        <w:pStyle w:val="Akapitzlist"/>
        <w:widowControl/>
        <w:suppressAutoHyphens w:val="0"/>
        <w:autoSpaceDE w:val="0"/>
        <w:ind w:left="709" w:hanging="283"/>
        <w:jc w:val="both"/>
        <w:textAlignment w:val="auto"/>
      </w:pPr>
      <w:r>
        <w:rPr>
          <w:rFonts w:ascii="Times New Roman" w:hAnsi="Times New Roman" w:cs="Times New Roman"/>
        </w:rPr>
        <w:t xml:space="preserve">4. </w:t>
      </w:r>
      <w:r>
        <w:rPr>
          <w:rFonts w:ascii="Times New Roman" w:hAnsi="Times New Roman" w:cs="Times New Roman"/>
          <w:i/>
        </w:rPr>
        <w:t xml:space="preserve"> </w:t>
      </w:r>
      <w:r>
        <w:rPr>
          <w:rFonts w:ascii="Times New Roman" w:hAnsi="Times New Roman" w:cs="Times New Roman"/>
        </w:rPr>
        <w:t>Projekt budowlany doprowadzić do zgodności z  rozporządzeniem Ministra Rozwoju z dnia 11 września 2020 r. w sprawie szczegółowego zakresu i formy projektu budowlanego ( t.j. Dz. U. z 2020 r. poz. 1609 ze zm.), w zakresie:</w:t>
      </w:r>
    </w:p>
    <w:p w:rsidR="00D133FA" w:rsidRDefault="00D133FA" w:rsidP="00906F51">
      <w:pPr>
        <w:pStyle w:val="Akapitzlist"/>
        <w:widowControl/>
        <w:numPr>
          <w:ilvl w:val="0"/>
          <w:numId w:val="29"/>
        </w:numPr>
        <w:pBdr>
          <w:top w:val="none" w:sz="0" w:space="0" w:color="auto"/>
          <w:left w:val="none" w:sz="0" w:space="0" w:color="auto"/>
          <w:bottom w:val="none" w:sz="0" w:space="0" w:color="auto"/>
          <w:right w:val="none" w:sz="0" w:space="0" w:color="auto"/>
        </w:pBdr>
        <w:suppressAutoHyphens w:val="0"/>
        <w:autoSpaceDE w:val="0"/>
        <w:autoSpaceDN w:val="0"/>
        <w:jc w:val="both"/>
        <w:textAlignment w:val="auto"/>
      </w:pPr>
      <w:r>
        <w:rPr>
          <w:rFonts w:ascii="Times New Roman" w:hAnsi="Times New Roman" w:cs="Times New Roman"/>
        </w:rPr>
        <w:t>§ 5 ust. 1 , który stanowi: „</w:t>
      </w:r>
      <w:r>
        <w:rPr>
          <w:rFonts w:ascii="Times New Roman" w:hAnsi="Times New Roman" w:cs="Times New Roman"/>
          <w:i/>
        </w:rPr>
        <w:t>Oprawia się następujące elementy projektu budowlanego:</w:t>
      </w:r>
    </w:p>
    <w:p w:rsidR="00D133FA" w:rsidRDefault="00D133FA" w:rsidP="00D133FA">
      <w:pPr>
        <w:pStyle w:val="Akapitzlist"/>
        <w:widowControl/>
        <w:suppressAutoHyphens w:val="0"/>
        <w:autoSpaceDE w:val="0"/>
        <w:ind w:left="1440"/>
        <w:jc w:val="both"/>
        <w:textAlignment w:val="auto"/>
        <w:rPr>
          <w:rFonts w:ascii="Times New Roman" w:hAnsi="Times New Roman" w:cs="Times New Roman"/>
          <w:i/>
        </w:rPr>
      </w:pPr>
      <w:r>
        <w:rPr>
          <w:rFonts w:ascii="Times New Roman" w:hAnsi="Times New Roman" w:cs="Times New Roman"/>
          <w:i/>
        </w:rPr>
        <w:t>1) projekt zagospodarowania działki lub terenu;</w:t>
      </w:r>
    </w:p>
    <w:p w:rsidR="00D133FA" w:rsidRDefault="00D133FA" w:rsidP="00D133FA">
      <w:pPr>
        <w:pStyle w:val="Akapitzlist"/>
        <w:widowControl/>
        <w:suppressAutoHyphens w:val="0"/>
        <w:autoSpaceDE w:val="0"/>
        <w:ind w:left="1440"/>
        <w:jc w:val="both"/>
        <w:textAlignment w:val="auto"/>
        <w:rPr>
          <w:rFonts w:ascii="Times New Roman" w:hAnsi="Times New Roman" w:cs="Times New Roman"/>
          <w:i/>
        </w:rPr>
      </w:pPr>
      <w:r>
        <w:rPr>
          <w:rFonts w:ascii="Times New Roman" w:hAnsi="Times New Roman" w:cs="Times New Roman"/>
          <w:i/>
        </w:rPr>
        <w:t>2) projekt architektoniczno-budowlany;</w:t>
      </w:r>
    </w:p>
    <w:p w:rsidR="00D133FA" w:rsidRDefault="00D133FA" w:rsidP="00D133FA">
      <w:pPr>
        <w:pStyle w:val="Akapitzlist"/>
        <w:widowControl/>
        <w:suppressAutoHyphens w:val="0"/>
        <w:autoSpaceDE w:val="0"/>
        <w:ind w:left="1440"/>
        <w:jc w:val="both"/>
        <w:textAlignment w:val="auto"/>
        <w:rPr>
          <w:rFonts w:ascii="Times New Roman" w:hAnsi="Times New Roman" w:cs="Times New Roman"/>
          <w:i/>
        </w:rPr>
      </w:pPr>
      <w:r>
        <w:rPr>
          <w:rFonts w:ascii="Times New Roman" w:hAnsi="Times New Roman" w:cs="Times New Roman"/>
          <w:i/>
        </w:rPr>
        <w:t>3) projekt techniczny;</w:t>
      </w:r>
    </w:p>
    <w:p w:rsidR="00D133FA" w:rsidRDefault="00D133FA" w:rsidP="00D133FA">
      <w:pPr>
        <w:pStyle w:val="Akapitzlist"/>
        <w:widowControl/>
        <w:suppressAutoHyphens w:val="0"/>
        <w:autoSpaceDE w:val="0"/>
        <w:ind w:left="1440"/>
        <w:jc w:val="both"/>
        <w:textAlignment w:val="auto"/>
        <w:rPr>
          <w:rFonts w:ascii="Times New Roman" w:hAnsi="Times New Roman" w:cs="Times New Roman"/>
          <w:i/>
        </w:rPr>
      </w:pPr>
      <w:r>
        <w:rPr>
          <w:rFonts w:ascii="Times New Roman" w:hAnsi="Times New Roman" w:cs="Times New Roman"/>
          <w:i/>
        </w:rPr>
        <w:t>4) załączniki projektu budowlanego:</w:t>
      </w:r>
    </w:p>
    <w:p w:rsidR="00D133FA" w:rsidRDefault="00D133FA" w:rsidP="00D133FA">
      <w:pPr>
        <w:pStyle w:val="Akapitzlist"/>
        <w:widowControl/>
        <w:suppressAutoHyphens w:val="0"/>
        <w:autoSpaceDE w:val="0"/>
        <w:ind w:left="1440"/>
        <w:jc w:val="both"/>
        <w:textAlignment w:val="auto"/>
        <w:rPr>
          <w:rFonts w:ascii="Times New Roman" w:hAnsi="Times New Roman" w:cs="Times New Roman"/>
          <w:i/>
        </w:rPr>
      </w:pPr>
      <w:r>
        <w:rPr>
          <w:rFonts w:ascii="Times New Roman" w:hAnsi="Times New Roman" w:cs="Times New Roman"/>
          <w:i/>
        </w:rPr>
        <w:t>a) opinie, uzgodnienia, pozwolenia i inne dokumenty, o których mowa w art. 33 ust. 2 pkt 1 ustawy,</w:t>
      </w:r>
    </w:p>
    <w:p w:rsidR="00D133FA" w:rsidRDefault="00D133FA" w:rsidP="00D133FA">
      <w:pPr>
        <w:pStyle w:val="Akapitzlist"/>
        <w:widowControl/>
        <w:suppressAutoHyphens w:val="0"/>
        <w:autoSpaceDE w:val="0"/>
        <w:ind w:left="1440"/>
        <w:jc w:val="both"/>
        <w:textAlignment w:val="auto"/>
        <w:rPr>
          <w:rFonts w:ascii="Times New Roman" w:hAnsi="Times New Roman" w:cs="Times New Roman"/>
          <w:i/>
        </w:rPr>
      </w:pPr>
      <w:r>
        <w:rPr>
          <w:rFonts w:ascii="Times New Roman" w:hAnsi="Times New Roman" w:cs="Times New Roman"/>
          <w:i/>
        </w:rPr>
        <w:t>b) oświadczenie właściwego zarządcy drogi o możliwości połączenia działki z drogą, zgodnie z przepisami o drogach publicznych, o którym mowa w art. 34 ust. 3 pkt 4 ustawy – w przypadku drogi krajowej lub wojewódzkiej,</w:t>
      </w:r>
    </w:p>
    <w:p w:rsidR="00D133FA" w:rsidRDefault="00D133FA" w:rsidP="00D133FA">
      <w:pPr>
        <w:pStyle w:val="Akapitzlist"/>
        <w:widowControl/>
        <w:suppressAutoHyphens w:val="0"/>
        <w:autoSpaceDE w:val="0"/>
        <w:ind w:left="1440"/>
        <w:jc w:val="both"/>
        <w:textAlignment w:val="auto"/>
      </w:pPr>
      <w:r>
        <w:rPr>
          <w:rFonts w:ascii="Times New Roman" w:hAnsi="Times New Roman" w:cs="Times New Roman"/>
          <w:i/>
        </w:rPr>
        <w:t>c) informację dotyczącą bezpieczeństwa i ochrony zdrowia, o której mowa w art. 20 ust. 1 pkt 1b ustawy.</w:t>
      </w:r>
      <w:r>
        <w:rPr>
          <w:rFonts w:ascii="Times New Roman" w:hAnsi="Times New Roman" w:cs="Times New Roman"/>
        </w:rPr>
        <w:t xml:space="preserve">”- </w:t>
      </w:r>
      <w:r>
        <w:t>zgodnie z cytowanym przepisem projekt budowlany składa się z 4 elementów, z czego zatwierdzeniu podlega projekt zagospodarowania terenu/działki i projekt architektoniczno-budowlany, przedłożyć należy także element o nazwie "załączniki projektu budowlanego", którego  w ogóle nie załączono, a który zawsze musi zawierać informację dotyczącą bezpieczeństwa i ochrony zdrowia, jak również wszelkie decyzje (np. decyzja Wójta Gminy Lesznowola o środowiskowych uwarunkowaniach, czy decyzja Gospodarstwa Wodnego Wody Polskie, etc.);</w:t>
      </w:r>
    </w:p>
    <w:p w:rsidR="00D133FA" w:rsidRDefault="00D133FA" w:rsidP="00D133FA">
      <w:pPr>
        <w:suppressAutoHyphens w:val="0"/>
        <w:autoSpaceDE w:val="0"/>
        <w:ind w:left="1080"/>
        <w:jc w:val="both"/>
        <w:textAlignment w:val="auto"/>
      </w:pPr>
      <w:r>
        <w:t xml:space="preserve">3)  § 7 ust. 2 , który stanowi: </w:t>
      </w:r>
      <w:r>
        <w:rPr>
          <w:i/>
        </w:rPr>
        <w:t>" Na stronie tytułowej zamieszcza się:</w:t>
      </w:r>
    </w:p>
    <w:p w:rsidR="00D133FA" w:rsidRDefault="00D133FA" w:rsidP="00D133FA">
      <w:pPr>
        <w:pStyle w:val="Akapitzlist"/>
        <w:widowControl/>
        <w:suppressAutoHyphens w:val="0"/>
        <w:autoSpaceDE w:val="0"/>
        <w:ind w:left="1440"/>
        <w:jc w:val="both"/>
        <w:textAlignment w:val="auto"/>
      </w:pPr>
      <w:r>
        <w:rPr>
          <w:rFonts w:ascii="Times New Roman" w:hAnsi="Times New Roman" w:cs="Times New Roman"/>
          <w:i/>
        </w:rPr>
        <w:t>1) nazwę elementu projektu budowlanego, którego ona dotyczy; informacje dotyczące zamierzenia budowlanego:</w:t>
      </w:r>
    </w:p>
    <w:p w:rsidR="00D133FA" w:rsidRDefault="00D133FA" w:rsidP="00D133FA">
      <w:pPr>
        <w:pStyle w:val="Akapitzlist"/>
        <w:widowControl/>
        <w:suppressAutoHyphens w:val="0"/>
        <w:autoSpaceDE w:val="0"/>
        <w:ind w:left="1440"/>
        <w:jc w:val="both"/>
        <w:textAlignment w:val="auto"/>
        <w:rPr>
          <w:rFonts w:ascii="Times New Roman" w:hAnsi="Times New Roman" w:cs="Times New Roman"/>
          <w:i/>
        </w:rPr>
      </w:pPr>
      <w:r>
        <w:rPr>
          <w:rFonts w:ascii="Times New Roman" w:hAnsi="Times New Roman" w:cs="Times New Roman"/>
          <w:i/>
        </w:rPr>
        <w:t>a) nazwę zamierzenia budowlanego,</w:t>
      </w:r>
    </w:p>
    <w:p w:rsidR="00D133FA" w:rsidRDefault="00D133FA" w:rsidP="00D133FA">
      <w:pPr>
        <w:pStyle w:val="Akapitzlist"/>
        <w:widowControl/>
        <w:suppressAutoHyphens w:val="0"/>
        <w:autoSpaceDE w:val="0"/>
        <w:ind w:left="1440"/>
        <w:jc w:val="both"/>
        <w:textAlignment w:val="auto"/>
        <w:rPr>
          <w:rFonts w:ascii="Times New Roman" w:hAnsi="Times New Roman" w:cs="Times New Roman"/>
          <w:i/>
        </w:rPr>
      </w:pPr>
      <w:r>
        <w:rPr>
          <w:rFonts w:ascii="Times New Roman" w:hAnsi="Times New Roman" w:cs="Times New Roman"/>
          <w:i/>
        </w:rPr>
        <w:t>b) adres i kategorię obiektu budowlanego,</w:t>
      </w:r>
    </w:p>
    <w:p w:rsidR="00D133FA" w:rsidRDefault="00D133FA" w:rsidP="00D133FA">
      <w:pPr>
        <w:pStyle w:val="Akapitzlist"/>
        <w:widowControl/>
        <w:suppressAutoHyphens w:val="0"/>
        <w:autoSpaceDE w:val="0"/>
        <w:ind w:left="1440"/>
        <w:jc w:val="both"/>
        <w:textAlignment w:val="auto"/>
      </w:pPr>
      <w:r>
        <w:rPr>
          <w:rFonts w:ascii="Times New Roman" w:hAnsi="Times New Roman" w:cs="Times New Roman"/>
          <w:i/>
        </w:rPr>
        <w:t>c) identyfikatory działek ewidencyjnych, na których obiekt budowlany jest usytuowany,(…).</w:t>
      </w:r>
      <w:r>
        <w:rPr>
          <w:rFonts w:ascii="Times New Roman" w:hAnsi="Times New Roman" w:cs="Times New Roman"/>
        </w:rPr>
        <w:t xml:space="preserve">”- </w:t>
      </w:r>
      <w:r>
        <w:t xml:space="preserve">zgodnie z przywołanym przepisem, każdy element składa się ze strony tytułowej, na której powinny znajdować się poprawnie wskazane wyżej wymienione dane - organ zwraca uwagę by właściwie wskazać nazwę zamierzenia budowlanego, która składa się z rodzaju robót budowlanych powiązanych z przedmiotowym </w:t>
      </w:r>
      <w:r>
        <w:rPr>
          <w:u w:val="single"/>
        </w:rPr>
        <w:t>obiektem budowlanym</w:t>
      </w:r>
      <w:r>
        <w:t xml:space="preserve">, co już organ wyjaśnił w  pierwszym punkcie postanowienia. Ponadto organ zwraca uwagę by właściwie podać kategorię dla projektowanego budynku - wyjaśniamy, że przecinkiem oddzielamy kategorie jakie wymienia się dla odrębnych obiektów budowlanych objętych inwestycją, jeśli zatem jeden obiekt projektuje się o różnych funkcjach użytkowych, dla których przypisane są odmienne kategorie, to wskazujemy to jako ciąg kategorii oddzielonych od siebie ukośnikiem. Należy zauważyć, że poza głównym obiektem budowlanym projektuje się związane z nim budynki: pompowni, portierni, jak również: zbiornik retencyjny, sieci wewnętrzne - dla których Prawo budowlane także przewiduje </w:t>
      </w:r>
      <w:r>
        <w:lastRenderedPageBreak/>
        <w:t xml:space="preserve">klasyfikację do odpowiednich kategorii obiektów budowlanych, dlatego stronę tytułową należy także uzupełnić o podanie numerów kategorii odpowiednich dla każdego z projektowanych obiektów budowlanych . Ponadto w myśl art. 5 Prawa budowlanego, z którego wynika, że decyzja może wydana wyłącznie na obiekt budowlany, który na podstawie zatwierdzonego projektu ma możliwość pełnić swoją funkcję, zatem w  sytuacji przedmiotowej inwestycji budynek musi być zaprojektowany poza architektem, również przez konstruktora, oraz projektantów z branży sanitarnej, elektrycznej oraz telekomunikacyjnej- stronę tytułową projektu architektoniczno-budowlanego należy uzupełnić o dane projektantów z każdej z wymienionych branż (podając ich specjalność, numer uprawnień, imię, nazwisko oraz uzupełnić ich podpisem), jak również zgodnie z art. 20 ust. 2 ustawy Prawo budowlane wskazać projektantów sprawdzających, również uzupełniając o powyższe dane, jednocześnie pamiętając by ten element projektu uzupełnić o uprawnienia tych wszystkich projektantów potwierdzone za zgodność z oryginałem, ich aktualne zaświadczenia potwierdzające  przynależności do właściwych izb, oraz oświadczenia dot. sporządzenia projektu architektoniczno-budowlanego. Potwierdzeniem takiego wymogu jest </w:t>
      </w:r>
      <w:r>
        <w:rPr>
          <w:rFonts w:ascii="Times New Roman" w:hAnsi="Times New Roman" w:cs="Times New Roman"/>
        </w:rPr>
        <w:t>§</w:t>
      </w:r>
      <w:r>
        <w:t xml:space="preserve"> 7 ust. 4 rozporządzenia, który brzmi : "</w:t>
      </w:r>
      <w:r>
        <w:rPr>
          <w:i/>
        </w:rPr>
        <w:t>Jeżeli liczba osób opracowujących i sprawdzających projekt zagospodarowania działki lub terenu, projekt architektoniczno-budowlany lub projekt techniczny uniemożliwia sporządzenie strony tytułowej na jednej stronie formatu A4, dopuszcza się zamieszczenie informacji, o których mowa w ust. 2 pkt 3 i 4 oraz ust. 3, w postaci załącznika do strony tytułowej";</w:t>
      </w:r>
    </w:p>
    <w:p w:rsidR="00D133FA" w:rsidRDefault="00D133FA" w:rsidP="00D133FA">
      <w:pPr>
        <w:pStyle w:val="Akapitzlist"/>
        <w:widowControl/>
        <w:suppressAutoHyphens w:val="0"/>
        <w:autoSpaceDE w:val="0"/>
        <w:ind w:left="1418" w:hanging="284"/>
        <w:jc w:val="both"/>
        <w:textAlignment w:val="auto"/>
      </w:pPr>
      <w:r>
        <w:rPr>
          <w:rFonts w:ascii="Times New Roman" w:hAnsi="Times New Roman" w:cs="Times New Roman"/>
        </w:rPr>
        <w:t>4) § 14. który brzmi: "</w:t>
      </w:r>
      <w:r>
        <w:rPr>
          <w:rFonts w:ascii="Times New Roman" w:hAnsi="Times New Roman" w:cs="Times New Roman"/>
          <w:i/>
        </w:rPr>
        <w:t xml:space="preserve"> Część opisowa projektu zagospodarowania działki lub terenu zawiera:</w:t>
      </w:r>
    </w:p>
    <w:p w:rsidR="00D133FA" w:rsidRDefault="00D133FA" w:rsidP="00D133FA">
      <w:pPr>
        <w:pStyle w:val="Akapitzlist"/>
        <w:widowControl/>
        <w:suppressAutoHyphens w:val="0"/>
        <w:autoSpaceDE w:val="0"/>
        <w:ind w:left="1418"/>
        <w:jc w:val="both"/>
        <w:textAlignment w:val="auto"/>
      </w:pPr>
      <w:r>
        <w:rPr>
          <w:rFonts w:ascii="Times New Roman" w:hAnsi="Times New Roman" w:cs="Times New Roman"/>
          <w:i/>
        </w:rPr>
        <w:t>1) określenie przedmiotu zamierzenia budowlanego, a w przypadku zamierzenia budowlanego obejmującego więcej niż jeden obiekt budowlany - zakres całego zamierzenia;</w:t>
      </w:r>
    </w:p>
    <w:p w:rsidR="00D133FA" w:rsidRDefault="00D133FA" w:rsidP="00D133FA">
      <w:pPr>
        <w:pStyle w:val="Akapitzlist"/>
        <w:widowControl/>
        <w:suppressAutoHyphens w:val="0"/>
        <w:autoSpaceDE w:val="0"/>
        <w:ind w:left="1418"/>
        <w:jc w:val="both"/>
        <w:textAlignment w:val="auto"/>
        <w:rPr>
          <w:rFonts w:ascii="Times New Roman" w:hAnsi="Times New Roman" w:cs="Times New Roman"/>
          <w:i/>
        </w:rPr>
      </w:pPr>
      <w:r>
        <w:rPr>
          <w:rFonts w:ascii="Times New Roman" w:hAnsi="Times New Roman" w:cs="Times New Roman"/>
          <w:i/>
        </w:rPr>
        <w:t>2) określenie istniejącego stanu zagospodarowania działki lub terenu, w tym informację o obiektach budowlanych przeznaczonych do rozbiórki;</w:t>
      </w:r>
    </w:p>
    <w:p w:rsidR="00D133FA" w:rsidRDefault="00D133FA" w:rsidP="00D133FA">
      <w:pPr>
        <w:pStyle w:val="Akapitzlist"/>
        <w:widowControl/>
        <w:suppressAutoHyphens w:val="0"/>
        <w:autoSpaceDE w:val="0"/>
        <w:ind w:left="1418"/>
        <w:jc w:val="both"/>
        <w:textAlignment w:val="auto"/>
        <w:rPr>
          <w:rFonts w:ascii="Times New Roman" w:hAnsi="Times New Roman" w:cs="Times New Roman"/>
          <w:i/>
        </w:rPr>
      </w:pPr>
      <w:r>
        <w:rPr>
          <w:rFonts w:ascii="Times New Roman" w:hAnsi="Times New Roman" w:cs="Times New Roman"/>
          <w:i/>
        </w:rPr>
        <w:t>3) projektowane zagospodarowanie działki lub terenu, w tym:</w:t>
      </w:r>
    </w:p>
    <w:p w:rsidR="00D133FA" w:rsidRDefault="00D133FA" w:rsidP="00D133FA">
      <w:pPr>
        <w:pStyle w:val="Akapitzlist"/>
        <w:widowControl/>
        <w:suppressAutoHyphens w:val="0"/>
        <w:autoSpaceDE w:val="0"/>
        <w:ind w:left="1418"/>
        <w:jc w:val="both"/>
        <w:textAlignment w:val="auto"/>
        <w:rPr>
          <w:rFonts w:ascii="Times New Roman" w:hAnsi="Times New Roman" w:cs="Times New Roman"/>
          <w:i/>
        </w:rPr>
      </w:pPr>
      <w:r>
        <w:rPr>
          <w:rFonts w:ascii="Times New Roman" w:hAnsi="Times New Roman" w:cs="Times New Roman"/>
          <w:i/>
        </w:rPr>
        <w:t>a) urządzenia budowlane związane z obiektami budowlanymi,</w:t>
      </w:r>
    </w:p>
    <w:p w:rsidR="00D133FA" w:rsidRDefault="00D133FA" w:rsidP="00D133FA">
      <w:pPr>
        <w:pStyle w:val="Akapitzlist"/>
        <w:widowControl/>
        <w:suppressAutoHyphens w:val="0"/>
        <w:autoSpaceDE w:val="0"/>
        <w:ind w:left="1418"/>
        <w:jc w:val="both"/>
        <w:textAlignment w:val="auto"/>
        <w:rPr>
          <w:rFonts w:ascii="Times New Roman" w:hAnsi="Times New Roman" w:cs="Times New Roman"/>
          <w:i/>
        </w:rPr>
      </w:pPr>
      <w:r>
        <w:rPr>
          <w:rFonts w:ascii="Times New Roman" w:hAnsi="Times New Roman" w:cs="Times New Roman"/>
          <w:i/>
        </w:rPr>
        <w:t>b) sposób odprowadzania lub oczyszczania ścieków,</w:t>
      </w:r>
    </w:p>
    <w:p w:rsidR="00D133FA" w:rsidRDefault="00D133FA" w:rsidP="00D133FA">
      <w:pPr>
        <w:pStyle w:val="Akapitzlist"/>
        <w:widowControl/>
        <w:suppressAutoHyphens w:val="0"/>
        <w:autoSpaceDE w:val="0"/>
        <w:ind w:left="1418"/>
        <w:jc w:val="both"/>
        <w:textAlignment w:val="auto"/>
        <w:rPr>
          <w:rFonts w:ascii="Times New Roman" w:hAnsi="Times New Roman" w:cs="Times New Roman"/>
          <w:i/>
        </w:rPr>
      </w:pPr>
      <w:r>
        <w:rPr>
          <w:rFonts w:ascii="Times New Roman" w:hAnsi="Times New Roman" w:cs="Times New Roman"/>
          <w:i/>
        </w:rPr>
        <w:t>c) układ komunikacyjny,</w:t>
      </w:r>
    </w:p>
    <w:p w:rsidR="00D133FA" w:rsidRDefault="00D133FA" w:rsidP="00D133FA">
      <w:pPr>
        <w:pStyle w:val="Akapitzlist"/>
        <w:widowControl/>
        <w:suppressAutoHyphens w:val="0"/>
        <w:autoSpaceDE w:val="0"/>
        <w:ind w:left="1418"/>
        <w:jc w:val="both"/>
        <w:textAlignment w:val="auto"/>
        <w:rPr>
          <w:rFonts w:ascii="Times New Roman" w:hAnsi="Times New Roman" w:cs="Times New Roman"/>
          <w:i/>
        </w:rPr>
      </w:pPr>
      <w:r>
        <w:rPr>
          <w:rFonts w:ascii="Times New Roman" w:hAnsi="Times New Roman" w:cs="Times New Roman"/>
          <w:i/>
        </w:rPr>
        <w:t>d) sposób dostępu do drogi publicznej,</w:t>
      </w:r>
    </w:p>
    <w:p w:rsidR="00D133FA" w:rsidRDefault="00D133FA" w:rsidP="00D133FA">
      <w:pPr>
        <w:pStyle w:val="Akapitzlist"/>
        <w:widowControl/>
        <w:suppressAutoHyphens w:val="0"/>
        <w:autoSpaceDE w:val="0"/>
        <w:ind w:left="1418"/>
        <w:jc w:val="both"/>
        <w:textAlignment w:val="auto"/>
        <w:rPr>
          <w:rFonts w:ascii="Times New Roman" w:hAnsi="Times New Roman" w:cs="Times New Roman"/>
          <w:i/>
        </w:rPr>
      </w:pPr>
      <w:r>
        <w:rPr>
          <w:rFonts w:ascii="Times New Roman" w:hAnsi="Times New Roman" w:cs="Times New Roman"/>
          <w:i/>
        </w:rPr>
        <w:t>e) parametry techniczne sieci i urządzeń uzbrojenia terenu,</w:t>
      </w:r>
    </w:p>
    <w:p w:rsidR="00D133FA" w:rsidRDefault="00D133FA" w:rsidP="00D133FA">
      <w:pPr>
        <w:pStyle w:val="Akapitzlist"/>
        <w:widowControl/>
        <w:suppressAutoHyphens w:val="0"/>
        <w:autoSpaceDE w:val="0"/>
        <w:ind w:left="1418"/>
        <w:jc w:val="both"/>
        <w:textAlignment w:val="auto"/>
        <w:rPr>
          <w:rFonts w:ascii="Times New Roman" w:hAnsi="Times New Roman" w:cs="Times New Roman"/>
          <w:i/>
        </w:rPr>
      </w:pPr>
      <w:r>
        <w:rPr>
          <w:rFonts w:ascii="Times New Roman" w:hAnsi="Times New Roman" w:cs="Times New Roman"/>
          <w:i/>
        </w:rPr>
        <w:t>f) ukształtowanie terenu i układ zieleni, w zakresie niezbędnym do uzupełnienia części rysunkowej projektu zagospodarowania działki lub terenu;</w:t>
      </w:r>
    </w:p>
    <w:p w:rsidR="00D133FA" w:rsidRDefault="00D133FA" w:rsidP="00D133FA">
      <w:pPr>
        <w:pStyle w:val="Akapitzlist"/>
        <w:widowControl/>
        <w:suppressAutoHyphens w:val="0"/>
        <w:autoSpaceDE w:val="0"/>
        <w:ind w:left="1418"/>
        <w:jc w:val="both"/>
        <w:textAlignment w:val="auto"/>
        <w:rPr>
          <w:rFonts w:ascii="Times New Roman" w:hAnsi="Times New Roman" w:cs="Times New Roman"/>
          <w:i/>
        </w:rPr>
      </w:pPr>
      <w:r>
        <w:rPr>
          <w:rFonts w:ascii="Times New Roman" w:hAnsi="Times New Roman" w:cs="Times New Roman"/>
          <w:i/>
        </w:rPr>
        <w:t>4) zestawienie:</w:t>
      </w:r>
    </w:p>
    <w:p w:rsidR="00D133FA" w:rsidRDefault="00D133FA" w:rsidP="00D133FA">
      <w:pPr>
        <w:pStyle w:val="Akapitzlist"/>
        <w:widowControl/>
        <w:suppressAutoHyphens w:val="0"/>
        <w:autoSpaceDE w:val="0"/>
        <w:ind w:left="1418"/>
        <w:jc w:val="both"/>
        <w:textAlignment w:val="auto"/>
      </w:pPr>
      <w:r>
        <w:rPr>
          <w:rFonts w:ascii="Times New Roman" w:hAnsi="Times New Roman" w:cs="Times New Roman"/>
          <w:i/>
        </w:rPr>
        <w:t>a) powierzchni zabudowy projektowanych i istniejących obiektów budowlanych, przy czym powierzchnię zabudowy budynku pomniejsza się o powierzchnię części zewnętrznych budynku, takich jak: tarasy naziemne i podparte słupami, gzymsy oraz balkony,</w:t>
      </w:r>
    </w:p>
    <w:p w:rsidR="00D133FA" w:rsidRDefault="00D133FA" w:rsidP="00D133FA">
      <w:pPr>
        <w:pStyle w:val="Akapitzlist"/>
        <w:widowControl/>
        <w:suppressAutoHyphens w:val="0"/>
        <w:autoSpaceDE w:val="0"/>
        <w:ind w:left="1418"/>
        <w:jc w:val="both"/>
        <w:textAlignment w:val="auto"/>
        <w:rPr>
          <w:rFonts w:ascii="Times New Roman" w:hAnsi="Times New Roman" w:cs="Times New Roman"/>
          <w:i/>
        </w:rPr>
      </w:pPr>
      <w:r>
        <w:rPr>
          <w:rFonts w:ascii="Times New Roman" w:hAnsi="Times New Roman" w:cs="Times New Roman"/>
          <w:i/>
        </w:rPr>
        <w:t>b) powierzchni dróg, parkingów, placów i chodników,</w:t>
      </w:r>
    </w:p>
    <w:p w:rsidR="00D133FA" w:rsidRDefault="00D133FA" w:rsidP="00D133FA">
      <w:pPr>
        <w:pStyle w:val="Akapitzlist"/>
        <w:widowControl/>
        <w:suppressAutoHyphens w:val="0"/>
        <w:autoSpaceDE w:val="0"/>
        <w:ind w:left="1418"/>
        <w:jc w:val="both"/>
        <w:textAlignment w:val="auto"/>
        <w:rPr>
          <w:rFonts w:ascii="Times New Roman" w:hAnsi="Times New Roman" w:cs="Times New Roman"/>
          <w:i/>
        </w:rPr>
      </w:pPr>
      <w:r>
        <w:rPr>
          <w:rFonts w:ascii="Times New Roman" w:hAnsi="Times New Roman" w:cs="Times New Roman"/>
          <w:i/>
        </w:rPr>
        <w:t>c) powierzchni biologicznie czynnej,</w:t>
      </w:r>
    </w:p>
    <w:p w:rsidR="00D133FA" w:rsidRDefault="00D133FA" w:rsidP="00D133FA">
      <w:pPr>
        <w:pStyle w:val="Akapitzlist"/>
        <w:widowControl/>
        <w:suppressAutoHyphens w:val="0"/>
        <w:autoSpaceDE w:val="0"/>
        <w:ind w:left="1418"/>
        <w:jc w:val="both"/>
        <w:textAlignment w:val="auto"/>
      </w:pPr>
      <w:r>
        <w:rPr>
          <w:rFonts w:ascii="Times New Roman" w:hAnsi="Times New Roman" w:cs="Times New Roman"/>
          <w:i/>
        </w:rPr>
        <w:t xml:space="preserve">d) powierzchni innych części terenu, niezbędnych do sprawdzenia zgodności z ustaleniami miejscowego planu zagospodarowania przestrzennego, a w przypadku jego braku z decyzją o warunkach zabudowy i zagospodarowania </w:t>
      </w:r>
      <w:r>
        <w:rPr>
          <w:rFonts w:ascii="Times New Roman" w:hAnsi="Times New Roman" w:cs="Times New Roman"/>
          <w:i/>
        </w:rPr>
        <w:lastRenderedPageBreak/>
        <w:t>terenu albo uchwały o ustaleniu lokalizacji inwestycji mieszkaniowej lub inwestycji towarzyszących;</w:t>
      </w:r>
    </w:p>
    <w:p w:rsidR="00D133FA" w:rsidRDefault="00D133FA" w:rsidP="00D133FA">
      <w:pPr>
        <w:pStyle w:val="Akapitzlist"/>
        <w:widowControl/>
        <w:suppressAutoHyphens w:val="0"/>
        <w:autoSpaceDE w:val="0"/>
        <w:ind w:left="1418"/>
        <w:jc w:val="both"/>
        <w:textAlignment w:val="auto"/>
        <w:rPr>
          <w:rFonts w:ascii="Times New Roman" w:hAnsi="Times New Roman" w:cs="Times New Roman"/>
          <w:i/>
        </w:rPr>
      </w:pPr>
      <w:r>
        <w:rPr>
          <w:rFonts w:ascii="Times New Roman" w:hAnsi="Times New Roman" w:cs="Times New Roman"/>
          <w:i/>
        </w:rPr>
        <w:t>5) informacje i dane:</w:t>
      </w:r>
    </w:p>
    <w:p w:rsidR="00D133FA" w:rsidRDefault="00D133FA" w:rsidP="00D133FA">
      <w:pPr>
        <w:pStyle w:val="Akapitzlist"/>
        <w:widowControl/>
        <w:suppressAutoHyphens w:val="0"/>
        <w:autoSpaceDE w:val="0"/>
        <w:ind w:left="1418"/>
        <w:jc w:val="both"/>
        <w:textAlignment w:val="auto"/>
      </w:pPr>
      <w:r>
        <w:rPr>
          <w:rFonts w:ascii="Times New Roman" w:hAnsi="Times New Roman" w:cs="Times New Roman"/>
          <w:i/>
        </w:rPr>
        <w:t>a) o rodzaju ograniczeń lub zakazów w zabudowie i zagospodarowaniu tego terenu wynikających z aktów prawa miejscowego lub decyzji o warunkach zabudowy i zagospodarowania terenu, jeżeli są wymagane,</w:t>
      </w:r>
    </w:p>
    <w:p w:rsidR="00D133FA" w:rsidRDefault="00D133FA" w:rsidP="00D133FA">
      <w:pPr>
        <w:pStyle w:val="Akapitzlist"/>
        <w:widowControl/>
        <w:suppressAutoHyphens w:val="0"/>
        <w:autoSpaceDE w:val="0"/>
        <w:ind w:left="1418"/>
        <w:jc w:val="both"/>
        <w:textAlignment w:val="auto"/>
      </w:pPr>
      <w:r>
        <w:rPr>
          <w:rFonts w:ascii="Times New Roman" w:hAnsi="Times New Roman" w:cs="Times New Roman"/>
          <w:i/>
        </w:rPr>
        <w:t>b) czy działka lub teren, na którym jest projektowany obiekt budowlany, są wpisane do rejestru zabytków lub gminnej ewidencji zabytków lub czy zamierzenie budowlane lokalizowane jest na obszarze objętym ochroną konserwatorską,</w:t>
      </w:r>
    </w:p>
    <w:p w:rsidR="00D133FA" w:rsidRDefault="00D133FA" w:rsidP="00D133FA">
      <w:pPr>
        <w:pStyle w:val="Akapitzlist"/>
        <w:widowControl/>
        <w:suppressAutoHyphens w:val="0"/>
        <w:autoSpaceDE w:val="0"/>
        <w:ind w:left="1418"/>
        <w:jc w:val="both"/>
        <w:textAlignment w:val="auto"/>
        <w:rPr>
          <w:rFonts w:ascii="Times New Roman" w:hAnsi="Times New Roman" w:cs="Times New Roman"/>
          <w:i/>
        </w:rPr>
      </w:pPr>
      <w:r>
        <w:rPr>
          <w:rFonts w:ascii="Times New Roman" w:hAnsi="Times New Roman" w:cs="Times New Roman"/>
          <w:i/>
        </w:rPr>
        <w:t>c) określające wpływ eksploatacji górniczej na działkę lub teren zamierzenia budowlanego - jeśli zamierzenie budowlane znajduje się w granicach terenu górniczego,</w:t>
      </w:r>
    </w:p>
    <w:p w:rsidR="00D133FA" w:rsidRDefault="00D133FA" w:rsidP="00D133FA">
      <w:pPr>
        <w:pStyle w:val="Akapitzlist"/>
        <w:widowControl/>
        <w:suppressAutoHyphens w:val="0"/>
        <w:autoSpaceDE w:val="0"/>
        <w:ind w:left="1418"/>
        <w:jc w:val="both"/>
        <w:textAlignment w:val="auto"/>
      </w:pPr>
      <w:r>
        <w:rPr>
          <w:rFonts w:ascii="Times New Roman" w:hAnsi="Times New Roman" w:cs="Times New Roman"/>
          <w:i/>
        </w:rPr>
        <w:t>d) o charakterze, cechach istniejących i przewidywanych zagrożeń dla środowiska oraz higieny i zdrowia użytkowników projektowanych obiektów budowlanych i ich otoczenia w zakresie zgodnym z przepisami odrębnymi;</w:t>
      </w:r>
    </w:p>
    <w:p w:rsidR="00D133FA" w:rsidRDefault="00D133FA" w:rsidP="00D133FA">
      <w:pPr>
        <w:pStyle w:val="Akapitzlist"/>
        <w:widowControl/>
        <w:suppressAutoHyphens w:val="0"/>
        <w:autoSpaceDE w:val="0"/>
        <w:ind w:left="1418"/>
        <w:jc w:val="both"/>
        <w:textAlignment w:val="auto"/>
      </w:pPr>
      <w:r>
        <w:rPr>
          <w:rFonts w:ascii="Times New Roman" w:hAnsi="Times New Roman" w:cs="Times New Roman"/>
          <w:i/>
        </w:rPr>
        <w:t>6) dane dotyczące warunków ochrony przeciwpożarowej, w szczególności o drogach pożarowych oraz przeciwpożarowym zaopatrzeniu w wodę, wraz z ich parametrami technicznymi;</w:t>
      </w:r>
    </w:p>
    <w:p w:rsidR="00D133FA" w:rsidRDefault="00D133FA" w:rsidP="00D133FA">
      <w:pPr>
        <w:pStyle w:val="Akapitzlist"/>
        <w:widowControl/>
        <w:suppressAutoHyphens w:val="0"/>
        <w:autoSpaceDE w:val="0"/>
        <w:ind w:left="1418"/>
        <w:jc w:val="both"/>
        <w:textAlignment w:val="auto"/>
      </w:pPr>
      <w:r>
        <w:rPr>
          <w:rFonts w:ascii="Times New Roman" w:hAnsi="Times New Roman" w:cs="Times New Roman"/>
          <w:i/>
        </w:rPr>
        <w:t>7) inne niezbędne dane wynikające ze specyfiki, charakteru i stopnia skomplikowania obiektu budowlanego lub robót budowlanych;</w:t>
      </w:r>
    </w:p>
    <w:p w:rsidR="00D133FA" w:rsidRDefault="00D133FA" w:rsidP="00D133FA">
      <w:pPr>
        <w:pStyle w:val="Akapitzlist"/>
        <w:widowControl/>
        <w:suppressAutoHyphens w:val="0"/>
        <w:autoSpaceDE w:val="0"/>
        <w:ind w:left="1418"/>
        <w:jc w:val="both"/>
        <w:textAlignment w:val="auto"/>
      </w:pPr>
      <w:r>
        <w:rPr>
          <w:rFonts w:ascii="Times New Roman" w:hAnsi="Times New Roman" w:cs="Times New Roman"/>
          <w:i/>
        </w:rPr>
        <w:t xml:space="preserve">8) informację o obszarze oddziaływania obiektu."- </w:t>
      </w:r>
      <w:r>
        <w:rPr>
          <w:rFonts w:ascii="Times New Roman" w:hAnsi="Times New Roman" w:cs="Times New Roman"/>
        </w:rPr>
        <w:t xml:space="preserve"> cały opis zawarty w projekcie należy sporządzić w sposób wyczerpujący wymagane powyższym przepisem informacje, należy odnieść się do każdego punktu, a przede wszystkim dokładnie wskazać jaki obiekt budowlany jest przedmiotem opracowania. Należy pamiętać by podać dokładnie jak ma wyglądać dostęp do drogi publicznej, wskazując z nazwy ulicę, która taką drogę stanowi, również by w bilansie terenu wymienić wszystkie projektowane elementy (w tym wszystkie budynki, zbiornik retencyjny, podając wszystkie urządzenia budowlane wyłączające grunt z powierzchni biologicznie czynnej). Ponadto celem prawidłowego opisania wszystkich urządzeń, ich elementów wyjaśniamy, że instalacją jest wyłącznie zespół rurek, złączek, kształtek które biegną do licznika (np. złącze kablowe zlokalizowane w ogrodzeniu, wodomierz zlokalizowany w budynku lub studzience wodomierzowej), lub kończący się na studzience rewizyjnej, natomiast dopiero za tymi urządzeniami biegnie przyłącze aż do istniejącej publicznej sieci zlokalizowanej w drodze- jeżeli inwestor zamierza wybudować wewnętrzne sieci, wówczas od nich do sieci zlokalizowanych w drodze również biegną przyłącza- dlatego należy zarówno w opisie,  na rysunku, jak w legendzie dokładnie rozróżnić wszystkie elementy. Przy czym wyjaśniamy, że obowiązkiem jest zatwierdzić przez organ administracji architektoniczno-budowlanej wyłącznie instalacje, przyłącza nie są takim obowiązkiem objęte, natomiast jeżeli wolą inwestora jest zatwierdzić przyłącza, wówczas należy rozszerzyć zamierzenie budowlane zawarte we wniosku i projekcie w zakresie tych przyłączy, oraz obszar inwestycji rozszerzyć o nr działek ew. przez które te przyłącza miałyby przebiegać, w przeciwnym razie należy przyłącza, jak również złącze kablowe opisać jako nie objęte opracowaniem. </w:t>
      </w:r>
    </w:p>
    <w:p w:rsidR="00D133FA" w:rsidRDefault="00D133FA" w:rsidP="00D133FA">
      <w:pPr>
        <w:pStyle w:val="Akapitzlist"/>
        <w:widowControl/>
        <w:suppressAutoHyphens w:val="0"/>
        <w:autoSpaceDE w:val="0"/>
        <w:ind w:left="1418" w:hanging="284"/>
        <w:jc w:val="both"/>
        <w:textAlignment w:val="auto"/>
      </w:pPr>
      <w:r>
        <w:rPr>
          <w:rFonts w:ascii="Times New Roman" w:hAnsi="Times New Roman" w:cs="Times New Roman"/>
        </w:rPr>
        <w:t>5) § 15 ust. 2, który brzmi: "</w:t>
      </w:r>
      <w:r>
        <w:t xml:space="preserve"> </w:t>
      </w:r>
      <w:r>
        <w:rPr>
          <w:rFonts w:ascii="Times New Roman" w:hAnsi="Times New Roman" w:cs="Times New Roman"/>
          <w:i/>
        </w:rPr>
        <w:t xml:space="preserve">Część rysunkowa projektu zagospodarowania działki lub terenu określa: </w:t>
      </w:r>
    </w:p>
    <w:p w:rsidR="00D133FA" w:rsidRDefault="00D133FA" w:rsidP="00D133FA">
      <w:pPr>
        <w:pStyle w:val="Akapitzlist"/>
        <w:widowControl/>
        <w:suppressAutoHyphens w:val="0"/>
        <w:autoSpaceDE w:val="0"/>
        <w:ind w:left="1418"/>
        <w:jc w:val="both"/>
        <w:textAlignment w:val="auto"/>
        <w:rPr>
          <w:rFonts w:ascii="Times New Roman" w:hAnsi="Times New Roman" w:cs="Times New Roman"/>
          <w:i/>
        </w:rPr>
      </w:pPr>
      <w:r>
        <w:rPr>
          <w:rFonts w:ascii="Times New Roman" w:hAnsi="Times New Roman" w:cs="Times New Roman"/>
          <w:i/>
        </w:rPr>
        <w:lastRenderedPageBreak/>
        <w:t>1) orientację położenia działki lub terenu w stosunku do sąsiednich terenów i stron świata;</w:t>
      </w:r>
    </w:p>
    <w:p w:rsidR="00D133FA" w:rsidRDefault="00D133FA" w:rsidP="00D133FA">
      <w:pPr>
        <w:pStyle w:val="Akapitzlist"/>
        <w:widowControl/>
        <w:suppressAutoHyphens w:val="0"/>
        <w:autoSpaceDE w:val="0"/>
        <w:ind w:left="1418"/>
        <w:jc w:val="both"/>
        <w:textAlignment w:val="auto"/>
        <w:rPr>
          <w:rFonts w:ascii="Times New Roman" w:hAnsi="Times New Roman" w:cs="Times New Roman"/>
          <w:i/>
        </w:rPr>
      </w:pPr>
      <w:r>
        <w:rPr>
          <w:rFonts w:ascii="Times New Roman" w:hAnsi="Times New Roman" w:cs="Times New Roman"/>
          <w:i/>
        </w:rPr>
        <w:t>2) granice działki lub terenu;</w:t>
      </w:r>
    </w:p>
    <w:p w:rsidR="00D133FA" w:rsidRDefault="00D133FA" w:rsidP="00D133FA">
      <w:pPr>
        <w:pStyle w:val="Akapitzlist"/>
        <w:widowControl/>
        <w:suppressAutoHyphens w:val="0"/>
        <w:autoSpaceDE w:val="0"/>
        <w:ind w:left="1418"/>
        <w:jc w:val="both"/>
        <w:textAlignment w:val="auto"/>
      </w:pPr>
      <w:r>
        <w:rPr>
          <w:rFonts w:ascii="Times New Roman" w:hAnsi="Times New Roman" w:cs="Times New Roman"/>
          <w:i/>
        </w:rPr>
        <w:t>3) usytuowanie i obrys istniejących oraz projektowanych obiektów budowlanych wraz z określeniem sposobu ich użytkowania, w tym urządzeń budowlanych z nimi związanych, z oznaczeniem wejść i wjazdów, liczbę kondygnacji, charakterystyczne rzędne - w tym rzędne terenu istniejącego i projektowanego, wymiary oraz odległości od granicy działki lub terenu, wzajemne odległości obiektów budowlanych i urządzeń budowlanych w zakresie niezbędnym do sprawdzenia zgodności wymiarów i odległości z przepisami, a także postanowieniami, w szczególności decyzji o warunkach zabudowy i zagospodarowania terenu oraz uchwały o ustaleniu lokalizacji inwestycji mieszkaniowej lub inwestycji towarzyszącej;</w:t>
      </w:r>
    </w:p>
    <w:p w:rsidR="00D133FA" w:rsidRDefault="00D133FA" w:rsidP="00D133FA">
      <w:pPr>
        <w:pStyle w:val="Akapitzlist"/>
        <w:widowControl/>
        <w:suppressAutoHyphens w:val="0"/>
        <w:autoSpaceDE w:val="0"/>
        <w:ind w:left="1418"/>
        <w:jc w:val="both"/>
        <w:textAlignment w:val="auto"/>
      </w:pPr>
      <w:r>
        <w:rPr>
          <w:rFonts w:ascii="Times New Roman" w:hAnsi="Times New Roman" w:cs="Times New Roman"/>
          <w:i/>
        </w:rPr>
        <w:t>4) zasięg obowiązywania nakazów, ograniczeń i uwarunkowań, o których mowa w § 14 pkt 5 lit. a, c i d;</w:t>
      </w:r>
    </w:p>
    <w:p w:rsidR="00D133FA" w:rsidRDefault="00D133FA" w:rsidP="00D133FA">
      <w:pPr>
        <w:pStyle w:val="Akapitzlist"/>
        <w:widowControl/>
        <w:suppressAutoHyphens w:val="0"/>
        <w:autoSpaceDE w:val="0"/>
        <w:ind w:left="1418"/>
        <w:jc w:val="both"/>
        <w:textAlignment w:val="auto"/>
        <w:rPr>
          <w:rFonts w:ascii="Times New Roman" w:hAnsi="Times New Roman" w:cs="Times New Roman"/>
          <w:i/>
        </w:rPr>
      </w:pPr>
      <w:r>
        <w:rPr>
          <w:rFonts w:ascii="Times New Roman" w:hAnsi="Times New Roman" w:cs="Times New Roman"/>
          <w:i/>
        </w:rPr>
        <w:t>5) granice terenu zamkniętego oraz jego strefy ochronnej;</w:t>
      </w:r>
    </w:p>
    <w:p w:rsidR="00D133FA" w:rsidRDefault="00D133FA" w:rsidP="00D133FA">
      <w:pPr>
        <w:pStyle w:val="Akapitzlist"/>
        <w:widowControl/>
        <w:suppressAutoHyphens w:val="0"/>
        <w:autoSpaceDE w:val="0"/>
        <w:ind w:left="1418"/>
        <w:jc w:val="both"/>
        <w:textAlignment w:val="auto"/>
      </w:pPr>
      <w:r>
        <w:rPr>
          <w:rFonts w:ascii="Times New Roman" w:hAnsi="Times New Roman" w:cs="Times New Roman"/>
          <w:i/>
        </w:rPr>
        <w:t>6) układ komunikacji wewnętrznej terenu przedstawiony w nawiązaniu do istniejącej i projektowanej komunikacji zewnętrznej, określający w szczególności układ dróg wewnętrznych, dojazdów, bocznic kolejowych, parkingów, placów i chodników, a w zależności od potrzeb - przekroje oraz profile elementów tego układu, charakterystyczne rzędne i wymiary;</w:t>
      </w:r>
    </w:p>
    <w:p w:rsidR="00D133FA" w:rsidRDefault="00D133FA" w:rsidP="00D133FA">
      <w:pPr>
        <w:pStyle w:val="Akapitzlist"/>
        <w:widowControl/>
        <w:suppressAutoHyphens w:val="0"/>
        <w:autoSpaceDE w:val="0"/>
        <w:ind w:left="1418"/>
        <w:jc w:val="both"/>
        <w:textAlignment w:val="auto"/>
      </w:pPr>
      <w:r>
        <w:rPr>
          <w:rFonts w:ascii="Times New Roman" w:hAnsi="Times New Roman" w:cs="Times New Roman"/>
          <w:i/>
        </w:rPr>
        <w:t>7) przebieg i charakterystyczne wymiary dróg pożarowych oraz dojść łączących wyjścia z obiektów budowlanych z tymi drogami;</w:t>
      </w:r>
    </w:p>
    <w:p w:rsidR="00D133FA" w:rsidRDefault="00D133FA" w:rsidP="00D133FA">
      <w:pPr>
        <w:pStyle w:val="Akapitzlist"/>
        <w:widowControl/>
        <w:suppressAutoHyphens w:val="0"/>
        <w:autoSpaceDE w:val="0"/>
        <w:ind w:left="1418"/>
        <w:jc w:val="both"/>
        <w:textAlignment w:val="auto"/>
      </w:pPr>
      <w:r>
        <w:rPr>
          <w:rFonts w:ascii="Times New Roman" w:hAnsi="Times New Roman" w:cs="Times New Roman"/>
          <w:i/>
        </w:rPr>
        <w:t>8) ukształtowanie terenu, z oznaczeniem zmian w stosunku do stanu istniejącego, a w razie potrzeby przekroje pionowe terenu;</w:t>
      </w:r>
    </w:p>
    <w:p w:rsidR="00D133FA" w:rsidRDefault="00D133FA" w:rsidP="00D133FA">
      <w:pPr>
        <w:pStyle w:val="Akapitzlist"/>
        <w:widowControl/>
        <w:suppressAutoHyphens w:val="0"/>
        <w:autoSpaceDE w:val="0"/>
        <w:ind w:left="1418"/>
        <w:jc w:val="both"/>
        <w:textAlignment w:val="auto"/>
      </w:pPr>
      <w:r>
        <w:rPr>
          <w:rFonts w:ascii="Times New Roman" w:hAnsi="Times New Roman" w:cs="Times New Roman"/>
          <w:i/>
        </w:rPr>
        <w:t>9) układ istniejącej zieleni, z oznaczeniem jej elementów podlegających likwidacji, oraz układ projektowanej zieleni wysokiej i niskiej;</w:t>
      </w:r>
    </w:p>
    <w:p w:rsidR="00D133FA" w:rsidRDefault="00D133FA" w:rsidP="00D133FA">
      <w:pPr>
        <w:pStyle w:val="Akapitzlist"/>
        <w:widowControl/>
        <w:suppressAutoHyphens w:val="0"/>
        <w:autoSpaceDE w:val="0"/>
        <w:ind w:left="1418"/>
        <w:jc w:val="both"/>
        <w:textAlignment w:val="auto"/>
      </w:pPr>
      <w:r>
        <w:rPr>
          <w:rFonts w:ascii="Times New Roman" w:hAnsi="Times New Roman" w:cs="Times New Roman"/>
          <w:i/>
        </w:rPr>
        <w:t>10) urządzenia lub inne rozwiązania w zakresie przeciwpożarowego zaopatrzenia w wodę, w tym usytuowanie źródeł wody do celów przeciwpożarowych, hydrantów zewnętrznych lub innych punktów poboru wody oraz stanowisk czerpania wody, wraz z dojazdami dla pojazdów pożarniczych;</w:t>
      </w:r>
    </w:p>
    <w:p w:rsidR="00D133FA" w:rsidRDefault="00D133FA" w:rsidP="00D133FA">
      <w:pPr>
        <w:pStyle w:val="Akapitzlist"/>
        <w:widowControl/>
        <w:suppressAutoHyphens w:val="0"/>
        <w:autoSpaceDE w:val="0"/>
        <w:ind w:left="1418"/>
        <w:jc w:val="both"/>
        <w:textAlignment w:val="auto"/>
      </w:pPr>
      <w:r>
        <w:rPr>
          <w:rFonts w:ascii="Times New Roman" w:hAnsi="Times New Roman" w:cs="Times New Roman"/>
          <w:i/>
        </w:rPr>
        <w:t>11) układ sieci i urządzeń uzbrojenia terenu, przedstawiony z przyłączami do odpowiednich sieci zewnętrznych i wewnętrznych oraz urządzeń budowlanych, w tym: wodociągowych, ujęć wody ze strefami ochronnymi, cieplnych, gazowych i kanalizacyjnych lub służących do oczyszczania ścieków, oraz określający sposób odprowadzania wód opadowych, z podaniem niezbędnych spadków, przekrojów przewodów oraz charakterystycznych rzędnych, wymiarów i odległości, wraz z usytuowaniem przyłączy, urządzeń i punktów pomiarowych - w przypadku objęcia ich zakresem projektu;</w:t>
      </w:r>
    </w:p>
    <w:p w:rsidR="00D133FA" w:rsidRDefault="00D133FA" w:rsidP="00D133FA">
      <w:pPr>
        <w:pStyle w:val="Akapitzlist"/>
        <w:widowControl/>
        <w:suppressAutoHyphens w:val="0"/>
        <w:autoSpaceDE w:val="0"/>
        <w:ind w:left="1418"/>
        <w:jc w:val="both"/>
        <w:textAlignment w:val="auto"/>
      </w:pPr>
      <w:r>
        <w:rPr>
          <w:rFonts w:ascii="Times New Roman" w:hAnsi="Times New Roman" w:cs="Times New Roman"/>
          <w:i/>
        </w:rPr>
        <w:t>12) układ linii lub przewodów elektrycznych i telekomunikacyjnych oraz związanych z nim urządzeń technicznych, przedstawiony w powiązaniu z sieciami zewnętrznymi, z oznaczeniem miejsca i rzędnych w miarę potrzeby, przyłączenia do sieci zewnętrznych i złączy z instalacją obiektów budowlanych oraz charakterystycznych elementów, punktów pomiarowych, symboli i wymiarów - w przypadku objęcia ich zakresem projektu;</w:t>
      </w:r>
    </w:p>
    <w:p w:rsidR="00D133FA" w:rsidRDefault="00D133FA" w:rsidP="00D133FA">
      <w:pPr>
        <w:pStyle w:val="Akapitzlist"/>
        <w:widowControl/>
        <w:suppressAutoHyphens w:val="0"/>
        <w:autoSpaceDE w:val="0"/>
        <w:ind w:left="1418"/>
        <w:jc w:val="both"/>
        <w:textAlignment w:val="auto"/>
        <w:rPr>
          <w:rFonts w:ascii="Times New Roman" w:hAnsi="Times New Roman" w:cs="Times New Roman"/>
          <w:i/>
        </w:rPr>
      </w:pPr>
      <w:r>
        <w:rPr>
          <w:rFonts w:ascii="Times New Roman" w:hAnsi="Times New Roman" w:cs="Times New Roman"/>
          <w:i/>
        </w:rPr>
        <w:t>13) podział terenu na części, o którym mowa w § 16;</w:t>
      </w:r>
    </w:p>
    <w:p w:rsidR="00D133FA" w:rsidRDefault="00D133FA" w:rsidP="00D133FA">
      <w:pPr>
        <w:pStyle w:val="Akapitzlist"/>
        <w:widowControl/>
        <w:suppressAutoHyphens w:val="0"/>
        <w:autoSpaceDE w:val="0"/>
        <w:ind w:left="1418"/>
        <w:jc w:val="both"/>
        <w:textAlignment w:val="auto"/>
      </w:pPr>
      <w:r>
        <w:rPr>
          <w:rFonts w:ascii="Times New Roman" w:hAnsi="Times New Roman" w:cs="Times New Roman"/>
          <w:i/>
        </w:rPr>
        <w:lastRenderedPageBreak/>
        <w:t>14) położenie sytuacyjno-wysokościowe w przypadku obiektów liniowych."-</w:t>
      </w:r>
      <w:r>
        <w:rPr>
          <w:rFonts w:ascii="Times New Roman" w:hAnsi="Times New Roman" w:cs="Times New Roman"/>
        </w:rPr>
        <w:t xml:space="preserve"> część rysunkową projektu zagospodarowania terenu należy sporządzić zgodnie z powyższym przepisem, przede wszystkim pamiętając o :</w:t>
      </w:r>
    </w:p>
    <w:p w:rsidR="00D133FA" w:rsidRDefault="00D133FA" w:rsidP="00906F51">
      <w:pPr>
        <w:pStyle w:val="Akapitzlist"/>
        <w:widowControl/>
        <w:numPr>
          <w:ilvl w:val="0"/>
          <w:numId w:val="30"/>
        </w:numPr>
        <w:pBdr>
          <w:top w:val="none" w:sz="0" w:space="0" w:color="auto"/>
          <w:left w:val="none" w:sz="0" w:space="0" w:color="auto"/>
          <w:bottom w:val="none" w:sz="0" w:space="0" w:color="auto"/>
          <w:right w:val="none" w:sz="0" w:space="0" w:color="auto"/>
        </w:pBdr>
        <w:suppressAutoHyphens w:val="0"/>
        <w:autoSpaceDE w:val="0"/>
        <w:autoSpaceDN w:val="0"/>
        <w:jc w:val="both"/>
        <w:textAlignment w:val="auto"/>
      </w:pPr>
      <w:r>
        <w:t>zwymiarowaniu drogi pożarowej, oraz podaniu promienia jej łuku, gdyż wrysowana droga nie jest zgodna z przepisami, jak również z  wskazanymi w  części opisowej jej właściwościami; poza tym jej przebieg zaplanowano w miejscu zaprojektowanych miejsc postojowych, czyli również niezgodnie z rozporządzeniem w sprawie przeciwpożarowego zaopatrzenia w wodę oraz dróg pożarowych, co należy poprawić;</w:t>
      </w:r>
    </w:p>
    <w:p w:rsidR="00D133FA" w:rsidRDefault="00D133FA" w:rsidP="00906F51">
      <w:pPr>
        <w:pStyle w:val="Akapitzlist"/>
        <w:widowControl/>
        <w:numPr>
          <w:ilvl w:val="0"/>
          <w:numId w:val="30"/>
        </w:numPr>
        <w:pBdr>
          <w:top w:val="none" w:sz="0" w:space="0" w:color="auto"/>
          <w:left w:val="none" w:sz="0" w:space="0" w:color="auto"/>
          <w:bottom w:val="none" w:sz="0" w:space="0" w:color="auto"/>
          <w:right w:val="none" w:sz="0" w:space="0" w:color="auto"/>
        </w:pBdr>
        <w:suppressAutoHyphens w:val="0"/>
        <w:autoSpaceDE w:val="0"/>
        <w:autoSpaceDN w:val="0"/>
        <w:jc w:val="both"/>
        <w:textAlignment w:val="auto"/>
      </w:pPr>
      <w:r>
        <w:t>wrysowaniu wszystkich przyłączy wykazując możliwość podłączenia projektowanych w budynku instalacji: kanalizacyjnej, elektroenergetycznej i gazowej (z rysunku wynika, że budynek będzie przyłączony jedynie do sieci wodociągowej, natomiast wewnętrzna sieć elektroenergetyczna i instalacja gazowa podłączone są do jednej skrzynki, która do niczego przyłączona nie jest, a z czego wynika, że sama w sobie miałaby być źródłem prądu, i jednocześnie gazu), należy także pamiętać o instalacji telekomunikacyjnej, wykazując przyłączenie jej do istniejącej sieci;</w:t>
      </w:r>
    </w:p>
    <w:p w:rsidR="00D133FA" w:rsidRDefault="00D133FA" w:rsidP="00906F51">
      <w:pPr>
        <w:pStyle w:val="Akapitzlist"/>
        <w:widowControl/>
        <w:numPr>
          <w:ilvl w:val="0"/>
          <w:numId w:val="30"/>
        </w:numPr>
        <w:pBdr>
          <w:top w:val="none" w:sz="0" w:space="0" w:color="auto"/>
          <w:left w:val="none" w:sz="0" w:space="0" w:color="auto"/>
          <w:bottom w:val="none" w:sz="0" w:space="0" w:color="auto"/>
          <w:right w:val="none" w:sz="0" w:space="0" w:color="auto"/>
        </w:pBdr>
        <w:suppressAutoHyphens w:val="0"/>
        <w:autoSpaceDE w:val="0"/>
        <w:autoSpaceDN w:val="0"/>
        <w:jc w:val="both"/>
        <w:textAlignment w:val="auto"/>
      </w:pPr>
      <w:r>
        <w:t>uzupełnieniu rysunku o orientację względem stron świata,</w:t>
      </w:r>
    </w:p>
    <w:p w:rsidR="00D133FA" w:rsidRDefault="00D133FA" w:rsidP="00906F51">
      <w:pPr>
        <w:pStyle w:val="Akapitzlist"/>
        <w:widowControl/>
        <w:numPr>
          <w:ilvl w:val="0"/>
          <w:numId w:val="30"/>
        </w:numPr>
        <w:pBdr>
          <w:top w:val="none" w:sz="0" w:space="0" w:color="auto"/>
          <w:left w:val="none" w:sz="0" w:space="0" w:color="auto"/>
          <w:bottom w:val="none" w:sz="0" w:space="0" w:color="auto"/>
          <w:right w:val="none" w:sz="0" w:space="0" w:color="auto"/>
        </w:pBdr>
        <w:suppressAutoHyphens w:val="0"/>
        <w:autoSpaceDE w:val="0"/>
        <w:autoSpaceDN w:val="0"/>
        <w:jc w:val="both"/>
        <w:textAlignment w:val="auto"/>
      </w:pPr>
      <w:r>
        <w:t>wrysowaniu i opisaniu w legendzie miejsca gromadzenia odpadów;</w:t>
      </w:r>
    </w:p>
    <w:p w:rsidR="00D133FA" w:rsidRDefault="00D133FA" w:rsidP="00906F51">
      <w:pPr>
        <w:pStyle w:val="Akapitzlist"/>
        <w:widowControl/>
        <w:numPr>
          <w:ilvl w:val="0"/>
          <w:numId w:val="30"/>
        </w:numPr>
        <w:pBdr>
          <w:top w:val="none" w:sz="0" w:space="0" w:color="auto"/>
          <w:left w:val="none" w:sz="0" w:space="0" w:color="auto"/>
          <w:bottom w:val="none" w:sz="0" w:space="0" w:color="auto"/>
          <w:right w:val="none" w:sz="0" w:space="0" w:color="auto"/>
        </w:pBdr>
        <w:suppressAutoHyphens w:val="0"/>
        <w:autoSpaceDE w:val="0"/>
        <w:autoSpaceDN w:val="0"/>
        <w:jc w:val="both"/>
        <w:textAlignment w:val="auto"/>
      </w:pPr>
      <w:r>
        <w:t>wykazaniu rzędnymi, że nie dojdzie do zmian stosunku wód na gruncie, co jest zakazane zapisami miejscowego planu;</w:t>
      </w:r>
    </w:p>
    <w:p w:rsidR="00D133FA" w:rsidRDefault="00D133FA" w:rsidP="00906F51">
      <w:pPr>
        <w:pStyle w:val="Akapitzlist"/>
        <w:widowControl/>
        <w:numPr>
          <w:ilvl w:val="0"/>
          <w:numId w:val="30"/>
        </w:numPr>
        <w:pBdr>
          <w:top w:val="none" w:sz="0" w:space="0" w:color="auto"/>
          <w:left w:val="none" w:sz="0" w:space="0" w:color="auto"/>
          <w:bottom w:val="none" w:sz="0" w:space="0" w:color="auto"/>
          <w:right w:val="none" w:sz="0" w:space="0" w:color="auto"/>
        </w:pBdr>
        <w:suppressAutoHyphens w:val="0"/>
        <w:autoSpaceDE w:val="0"/>
        <w:autoSpaceDN w:val="0"/>
        <w:jc w:val="both"/>
        <w:textAlignment w:val="auto"/>
      </w:pPr>
      <w:r>
        <w:t>wykazaniu rzędnymi oraz ewentualnym podjazdem dojście i dojazd do budynku osobom niepełnosprawnym;</w:t>
      </w:r>
    </w:p>
    <w:p w:rsidR="00D133FA" w:rsidRDefault="00D133FA" w:rsidP="00906F51">
      <w:pPr>
        <w:pStyle w:val="Akapitzlist"/>
        <w:widowControl/>
        <w:numPr>
          <w:ilvl w:val="0"/>
          <w:numId w:val="30"/>
        </w:numPr>
        <w:pBdr>
          <w:top w:val="none" w:sz="0" w:space="0" w:color="auto"/>
          <w:left w:val="none" w:sz="0" w:space="0" w:color="auto"/>
          <w:bottom w:val="none" w:sz="0" w:space="0" w:color="auto"/>
          <w:right w:val="none" w:sz="0" w:space="0" w:color="auto"/>
        </w:pBdr>
        <w:suppressAutoHyphens w:val="0"/>
        <w:autoSpaceDE w:val="0"/>
        <w:autoSpaceDN w:val="0"/>
        <w:jc w:val="both"/>
        <w:textAlignment w:val="auto"/>
      </w:pPr>
      <w:r>
        <w:t>wskazaniu właściwą rzędną poziomu posadzki parteru, gdyż obecna wskazuje na wyniesienie terenu ponad 2 m, co w perspektywie całej działki, jej ukształtowania, może powodować zabronione zmiany stosunku wód gruntowych;</w:t>
      </w:r>
    </w:p>
    <w:p w:rsidR="00D133FA" w:rsidRDefault="00D133FA" w:rsidP="00906F51">
      <w:pPr>
        <w:pStyle w:val="Akapitzlist"/>
        <w:widowControl/>
        <w:numPr>
          <w:ilvl w:val="0"/>
          <w:numId w:val="30"/>
        </w:numPr>
        <w:pBdr>
          <w:top w:val="none" w:sz="0" w:space="0" w:color="auto"/>
          <w:left w:val="none" w:sz="0" w:space="0" w:color="auto"/>
          <w:bottom w:val="none" w:sz="0" w:space="0" w:color="auto"/>
          <w:right w:val="none" w:sz="0" w:space="0" w:color="auto"/>
        </w:pBdr>
        <w:suppressAutoHyphens w:val="0"/>
        <w:autoSpaceDE w:val="0"/>
        <w:autoSpaceDN w:val="0"/>
        <w:jc w:val="both"/>
        <w:textAlignment w:val="auto"/>
      </w:pPr>
      <w:r>
        <w:t>wskazaniu projektowanej ilości kondygnacji (nie hipotetycznie prognozowaną, lecz taką, jaka jest planowana, jaka podlegać ma zatwierdzeniu przez tutejszy organ);</w:t>
      </w:r>
    </w:p>
    <w:p w:rsidR="00D133FA" w:rsidRDefault="00D133FA" w:rsidP="00906F51">
      <w:pPr>
        <w:pStyle w:val="Akapitzlist"/>
        <w:widowControl/>
        <w:numPr>
          <w:ilvl w:val="0"/>
          <w:numId w:val="30"/>
        </w:numPr>
        <w:pBdr>
          <w:top w:val="none" w:sz="0" w:space="0" w:color="auto"/>
          <w:left w:val="none" w:sz="0" w:space="0" w:color="auto"/>
          <w:bottom w:val="none" w:sz="0" w:space="0" w:color="auto"/>
          <w:right w:val="none" w:sz="0" w:space="0" w:color="auto"/>
        </w:pBdr>
        <w:suppressAutoHyphens w:val="0"/>
        <w:autoSpaceDE w:val="0"/>
        <w:autoSpaceDN w:val="0"/>
        <w:jc w:val="both"/>
        <w:textAlignment w:val="auto"/>
      </w:pPr>
      <w:r>
        <w:t xml:space="preserve">zaznaczenie powierzchni ulegającej przekształceniu w myśl </w:t>
      </w:r>
      <w:r>
        <w:rPr>
          <w:rFonts w:ascii="Times New Roman" w:hAnsi="Times New Roman" w:cs="Times New Roman"/>
        </w:rPr>
        <w:t>§</w:t>
      </w:r>
      <w:r>
        <w:t xml:space="preserve"> 1 ust. 2 pkt 1 rozporządzenia Rady Ministrów z dnia 10 września 2019 r. w sprawie przedsięwzięć mogących znacząco oddziaływać na środowisko (t.j. Dz. U. z 2019 r. poz. 1839) , który brzmi: „</w:t>
      </w:r>
      <w:r w:rsidRPr="00977793">
        <w:rPr>
          <w:i/>
        </w:rPr>
        <w:t>Użyte w rozporządzeniu określenia oznaczają: powierzchnia zabudowy – powierzchnię terenu zajętą przez obiekty budowlane oraz pozostałą powierzchnię przeznaczoną do przekształcenia, w tym tymczasowego, w celu realizacji przedsięwzięcia;</w:t>
      </w:r>
      <w:r>
        <w:t>”;</w:t>
      </w:r>
    </w:p>
    <w:p w:rsidR="00D133FA" w:rsidRDefault="00F904CA" w:rsidP="00D133FA">
      <w:pPr>
        <w:pStyle w:val="Akapitzlist"/>
        <w:widowControl/>
        <w:suppressAutoHyphens w:val="0"/>
        <w:autoSpaceDE w:val="0"/>
        <w:ind w:left="1440" w:hanging="306"/>
        <w:jc w:val="both"/>
        <w:textAlignment w:val="auto"/>
      </w:pPr>
      <w:r>
        <w:t>6</w:t>
      </w:r>
      <w:r w:rsidR="00D133FA">
        <w:t xml:space="preserve">) </w:t>
      </w:r>
      <w:r w:rsidR="00D133FA">
        <w:rPr>
          <w:rFonts w:ascii="Times New Roman" w:hAnsi="Times New Roman" w:cs="Times New Roman"/>
        </w:rPr>
        <w:t xml:space="preserve">§ </w:t>
      </w:r>
      <w:r w:rsidR="00D133FA">
        <w:t>20 ust. 1, który brzmi: "</w:t>
      </w:r>
      <w:r w:rsidR="00D133FA">
        <w:rPr>
          <w:i/>
        </w:rPr>
        <w:t>Część opisowa projektu architektoniczno-budowlanego zawiera:</w:t>
      </w:r>
    </w:p>
    <w:p w:rsidR="00D133FA" w:rsidRDefault="00D133FA" w:rsidP="00D133FA">
      <w:pPr>
        <w:pStyle w:val="Akapitzlist"/>
        <w:widowControl/>
        <w:suppressAutoHyphens w:val="0"/>
        <w:autoSpaceDE w:val="0"/>
        <w:ind w:left="1440" w:hanging="22"/>
        <w:jc w:val="both"/>
        <w:textAlignment w:val="auto"/>
        <w:rPr>
          <w:i/>
        </w:rPr>
      </w:pPr>
      <w:r>
        <w:rPr>
          <w:i/>
        </w:rPr>
        <w:t>1) rodzaj i kategorię obiektu budowlanego będącego przedmiotem zamierzenia budowlanego;</w:t>
      </w:r>
    </w:p>
    <w:p w:rsidR="00D133FA" w:rsidRDefault="00D133FA" w:rsidP="00D133FA">
      <w:pPr>
        <w:pStyle w:val="Akapitzlist"/>
        <w:widowControl/>
        <w:suppressAutoHyphens w:val="0"/>
        <w:autoSpaceDE w:val="0"/>
        <w:ind w:left="1440" w:hanging="22"/>
        <w:jc w:val="both"/>
        <w:textAlignment w:val="auto"/>
      </w:pPr>
      <w:r>
        <w:rPr>
          <w:i/>
        </w:rPr>
        <w:t>2) zamierzony sposób użytkowania oraz program użytkowy obiektu budowlanego;</w:t>
      </w:r>
    </w:p>
    <w:p w:rsidR="00D133FA" w:rsidRDefault="00D133FA" w:rsidP="00D133FA">
      <w:pPr>
        <w:pStyle w:val="Akapitzlist"/>
        <w:widowControl/>
        <w:suppressAutoHyphens w:val="0"/>
        <w:autoSpaceDE w:val="0"/>
        <w:ind w:left="1440" w:hanging="22"/>
        <w:jc w:val="both"/>
        <w:textAlignment w:val="auto"/>
      </w:pPr>
      <w:r>
        <w:rPr>
          <w:i/>
        </w:rPr>
        <w:t xml:space="preserve">3) układ przestrzenny oraz formę architektoniczną obiektu budowlanego, w tym jego wygląd zewnętrzny, uwzględniając charakterystyczne wyroby wykończeniowe i kolorystykę elewacji, a także sposób jego dostosowania do </w:t>
      </w:r>
      <w:r>
        <w:rPr>
          <w:i/>
        </w:rPr>
        <w:lastRenderedPageBreak/>
        <w:t>warunków wynikających z wymaganych przepisami szczególnymi pozwoleń, uzgodnień lub opinii innych organów, o których mowa w art. 32 ust. 1 pkt 2 ustawy, lub ustaleń miejscowego planu zagospodarowania przestrzennego, a w przypadku jego braku - z decyzji o warunkach zabudowy i zagospodarowania terenu albo uchwały o ustaleniu lokalizacji inwestycji mieszkaniowej lub inwestycji towarzyszących;</w:t>
      </w:r>
    </w:p>
    <w:p w:rsidR="00D133FA" w:rsidRDefault="00D133FA" w:rsidP="00D133FA">
      <w:pPr>
        <w:pStyle w:val="Akapitzlist"/>
        <w:widowControl/>
        <w:suppressAutoHyphens w:val="0"/>
        <w:autoSpaceDE w:val="0"/>
        <w:ind w:left="1440" w:hanging="22"/>
        <w:jc w:val="both"/>
        <w:textAlignment w:val="auto"/>
        <w:rPr>
          <w:i/>
        </w:rPr>
      </w:pPr>
      <w:r>
        <w:rPr>
          <w:i/>
        </w:rPr>
        <w:t>4) charakterystyczne parametry obiektu budowlanego, w szczególności:</w:t>
      </w:r>
    </w:p>
    <w:p w:rsidR="00D133FA" w:rsidRDefault="00D133FA" w:rsidP="00D133FA">
      <w:pPr>
        <w:pStyle w:val="Akapitzlist"/>
        <w:widowControl/>
        <w:suppressAutoHyphens w:val="0"/>
        <w:autoSpaceDE w:val="0"/>
        <w:ind w:left="1440" w:hanging="22"/>
        <w:jc w:val="both"/>
        <w:textAlignment w:val="auto"/>
        <w:rPr>
          <w:i/>
        </w:rPr>
      </w:pPr>
      <w:r>
        <w:rPr>
          <w:i/>
        </w:rPr>
        <w:t>a) kubaturę,</w:t>
      </w:r>
    </w:p>
    <w:p w:rsidR="00D133FA" w:rsidRDefault="00D133FA" w:rsidP="00D133FA">
      <w:pPr>
        <w:pStyle w:val="Akapitzlist"/>
        <w:widowControl/>
        <w:suppressAutoHyphens w:val="0"/>
        <w:autoSpaceDE w:val="0"/>
        <w:ind w:left="1440" w:hanging="22"/>
        <w:jc w:val="both"/>
        <w:textAlignment w:val="auto"/>
        <w:rPr>
          <w:i/>
        </w:rPr>
      </w:pPr>
      <w:r>
        <w:rPr>
          <w:i/>
        </w:rPr>
        <w:t>b) zestawienie powierzchni, przy czym:</w:t>
      </w:r>
    </w:p>
    <w:p w:rsidR="00D133FA" w:rsidRDefault="00D133FA" w:rsidP="00D133FA">
      <w:pPr>
        <w:pStyle w:val="Akapitzlist"/>
        <w:widowControl/>
        <w:suppressAutoHyphens w:val="0"/>
        <w:autoSpaceDE w:val="0"/>
        <w:ind w:left="1440" w:hanging="22"/>
        <w:jc w:val="both"/>
        <w:textAlignment w:val="auto"/>
      </w:pPr>
      <w:r>
        <w:rPr>
          <w:i/>
        </w:rPr>
        <w:t>– powierzchnię użytkową budynku pomniejsza się o powierzchnię: przekroju poziomego wszystkich wewnętrznych przegród budowlanych, przejść i otworów w tych przegrodach, przejść w przegrodach zewnętrznych, balkonów, tarasów, loggii, schodów wewnętrznych i podestów w lokalach mieszkalnych wielopoziomowych, nieużytkowych poddaszy,</w:t>
      </w:r>
    </w:p>
    <w:p w:rsidR="00D133FA" w:rsidRDefault="00D133FA" w:rsidP="00D133FA">
      <w:pPr>
        <w:pStyle w:val="Akapitzlist"/>
        <w:widowControl/>
        <w:suppressAutoHyphens w:val="0"/>
        <w:autoSpaceDE w:val="0"/>
        <w:ind w:left="1440" w:hanging="22"/>
        <w:jc w:val="both"/>
        <w:textAlignment w:val="auto"/>
        <w:rPr>
          <w:i/>
        </w:rPr>
      </w:pPr>
      <w:r>
        <w:rPr>
          <w:i/>
        </w:rPr>
        <w:t>– powierzchnię użytkową budynku powiększa się o powierzchnię: antresol, ogrodów zimowych oraz wbudowanych, ściennych szaf, schowków i garderób,</w:t>
      </w:r>
    </w:p>
    <w:p w:rsidR="00D133FA" w:rsidRDefault="00D133FA" w:rsidP="00D133FA">
      <w:pPr>
        <w:pStyle w:val="Akapitzlist"/>
        <w:widowControl/>
        <w:suppressAutoHyphens w:val="0"/>
        <w:autoSpaceDE w:val="0"/>
        <w:ind w:left="1440" w:hanging="22"/>
        <w:jc w:val="both"/>
        <w:textAlignment w:val="auto"/>
      </w:pPr>
      <w:r>
        <w:rPr>
          <w:i/>
        </w:rPr>
        <w:t>– przy określaniu powierzchni użytkowej powierzchnię pomieszczeń lub ich części o wysokości w świetle równej lub większej od 2,20 m zalicza się do obliczeń w 100%, o wysokości równej lub większej od 1,40 m, lecz mniejszej od 2,20 m - w 50%, natomiast o wysokości mniejszej od 1,40 m pomija się całkowicie,</w:t>
      </w:r>
    </w:p>
    <w:p w:rsidR="00D133FA" w:rsidRDefault="00D133FA" w:rsidP="00D133FA">
      <w:pPr>
        <w:pStyle w:val="Akapitzlist"/>
        <w:widowControl/>
        <w:suppressAutoHyphens w:val="0"/>
        <w:autoSpaceDE w:val="0"/>
        <w:ind w:left="1440" w:hanging="22"/>
        <w:jc w:val="both"/>
        <w:textAlignment w:val="auto"/>
      </w:pPr>
      <w:r>
        <w:rPr>
          <w:i/>
        </w:rPr>
        <w:t>– przy określaniu zestawienia powierzchni użytkowej lokali mieszkalnych przez lokal mieszkalny należy rozumieć wydzielone trwałymi ścianami w obrębie budynku pomieszczenie lub zespół pomieszczeń przeznaczonych na stały pobyt ludzi, które wraz z pomieszczeniami pomocniczymi służą zaspokajaniu ich potrzeb mieszkaniowych,</w:t>
      </w:r>
    </w:p>
    <w:p w:rsidR="00D133FA" w:rsidRDefault="00D133FA" w:rsidP="00D133FA">
      <w:pPr>
        <w:pStyle w:val="Akapitzlist"/>
        <w:widowControl/>
        <w:suppressAutoHyphens w:val="0"/>
        <w:autoSpaceDE w:val="0"/>
        <w:ind w:left="1440" w:hanging="22"/>
        <w:jc w:val="both"/>
        <w:textAlignment w:val="auto"/>
        <w:rPr>
          <w:i/>
        </w:rPr>
      </w:pPr>
      <w:r>
        <w:rPr>
          <w:i/>
        </w:rPr>
        <w:t>c) wysokość, długość, szerokość, średnicę,</w:t>
      </w:r>
    </w:p>
    <w:p w:rsidR="00D133FA" w:rsidRDefault="00D133FA" w:rsidP="00D133FA">
      <w:pPr>
        <w:pStyle w:val="Akapitzlist"/>
        <w:widowControl/>
        <w:suppressAutoHyphens w:val="0"/>
        <w:autoSpaceDE w:val="0"/>
        <w:ind w:left="1440" w:hanging="22"/>
        <w:jc w:val="both"/>
        <w:textAlignment w:val="auto"/>
        <w:rPr>
          <w:i/>
        </w:rPr>
      </w:pPr>
      <w:r>
        <w:rPr>
          <w:i/>
        </w:rPr>
        <w:t>d) liczbę kondygnacji,</w:t>
      </w:r>
    </w:p>
    <w:p w:rsidR="00D133FA" w:rsidRDefault="00D133FA" w:rsidP="00D133FA">
      <w:pPr>
        <w:pStyle w:val="Akapitzlist"/>
        <w:widowControl/>
        <w:suppressAutoHyphens w:val="0"/>
        <w:autoSpaceDE w:val="0"/>
        <w:ind w:left="1440" w:hanging="22"/>
        <w:jc w:val="both"/>
        <w:textAlignment w:val="auto"/>
      </w:pPr>
      <w:r>
        <w:rPr>
          <w:i/>
        </w:rPr>
        <w:t>e) inne dane niż wskazane w lit. a-d niezbędne do stwierdzenia zgodności usytuowania obiektu z wymaganiami ochrony przeciwpożarowej;</w:t>
      </w:r>
    </w:p>
    <w:p w:rsidR="00D133FA" w:rsidRDefault="00D133FA" w:rsidP="00D133FA">
      <w:pPr>
        <w:pStyle w:val="Akapitzlist"/>
        <w:widowControl/>
        <w:suppressAutoHyphens w:val="0"/>
        <w:autoSpaceDE w:val="0"/>
        <w:ind w:left="1440" w:hanging="22"/>
        <w:jc w:val="both"/>
        <w:textAlignment w:val="auto"/>
      </w:pPr>
      <w:r>
        <w:rPr>
          <w:i/>
        </w:rPr>
        <w:t>5) opinię geotechniczną oraz informację o sposobie posadowienia obiektu budowlanego;</w:t>
      </w:r>
    </w:p>
    <w:p w:rsidR="00D133FA" w:rsidRDefault="00D133FA" w:rsidP="00D133FA">
      <w:pPr>
        <w:pStyle w:val="Akapitzlist"/>
        <w:widowControl/>
        <w:suppressAutoHyphens w:val="0"/>
        <w:autoSpaceDE w:val="0"/>
        <w:ind w:left="1440" w:hanging="22"/>
        <w:jc w:val="both"/>
        <w:textAlignment w:val="auto"/>
        <w:rPr>
          <w:i/>
        </w:rPr>
      </w:pPr>
      <w:r>
        <w:rPr>
          <w:i/>
        </w:rPr>
        <w:t>6) w przypadku zamierzenia budowlanego dotyczącego budynku - liczbę lokali mieszkalnych i użytkowych;</w:t>
      </w:r>
    </w:p>
    <w:p w:rsidR="00D133FA" w:rsidRDefault="00D133FA" w:rsidP="00D133FA">
      <w:pPr>
        <w:pStyle w:val="Akapitzlist"/>
        <w:widowControl/>
        <w:suppressAutoHyphens w:val="0"/>
        <w:autoSpaceDE w:val="0"/>
        <w:ind w:left="1440" w:hanging="22"/>
        <w:jc w:val="both"/>
        <w:textAlignment w:val="auto"/>
      </w:pPr>
      <w:r>
        <w:rPr>
          <w:i/>
        </w:rPr>
        <w:t>7) w przypadku zamierzenia budowlanego dotyczącego budynku mieszkalnego wielorodzinnego - liczbę lokali mieszkalnych dostępnych dla osób niepełnosprawnych, o których mowa w art. 1 Konwencji o prawach osób niepełnosprawnych, sporządzonej w Nowym Jorku dnia 13 grudnia 2006 r. (Dz. U. z 2012 r. poz. 1169 oraz z 2018 r. poz. 1217), w tym osób starszych;</w:t>
      </w:r>
    </w:p>
    <w:p w:rsidR="00D133FA" w:rsidRDefault="00D133FA" w:rsidP="00D133FA">
      <w:pPr>
        <w:pStyle w:val="Akapitzlist"/>
        <w:widowControl/>
        <w:suppressAutoHyphens w:val="0"/>
        <w:autoSpaceDE w:val="0"/>
        <w:ind w:left="1440" w:hanging="22"/>
        <w:jc w:val="both"/>
        <w:textAlignment w:val="auto"/>
      </w:pPr>
      <w:r>
        <w:rPr>
          <w:i/>
        </w:rPr>
        <w:t>8) opis zapewnienia niezbędnych warunków do korzystania z obiektów użyteczności publicznej i mieszkaniowego budownictwa wielorodzinnego przez osoby niepełnosprawne, o których mowa w art. 1 Konwencji o prawach osób niepełnosprawnych, sporządzonej w Nowym Jorku dnia 13 grudnia 2006 r., w tym osoby starsze;</w:t>
      </w:r>
    </w:p>
    <w:p w:rsidR="00D133FA" w:rsidRDefault="00D133FA" w:rsidP="00D133FA">
      <w:pPr>
        <w:pStyle w:val="Akapitzlist"/>
        <w:widowControl/>
        <w:suppressAutoHyphens w:val="0"/>
        <w:autoSpaceDE w:val="0"/>
        <w:ind w:left="1440" w:hanging="22"/>
        <w:jc w:val="both"/>
        <w:textAlignment w:val="auto"/>
        <w:rPr>
          <w:i/>
        </w:rPr>
      </w:pPr>
      <w:r>
        <w:rPr>
          <w:i/>
        </w:rPr>
        <w:t>9) parametry techniczne obiektu budowlanego charakteryzujące wpływ obiektu budowlanego na środowisko i jego wykorzystywanie oraz na zdrowie ludzi i obiekty sąsiednie pod względem:</w:t>
      </w:r>
    </w:p>
    <w:p w:rsidR="00D133FA" w:rsidRDefault="00D133FA" w:rsidP="00D133FA">
      <w:pPr>
        <w:pStyle w:val="Akapitzlist"/>
        <w:widowControl/>
        <w:suppressAutoHyphens w:val="0"/>
        <w:autoSpaceDE w:val="0"/>
        <w:ind w:left="1440" w:hanging="22"/>
        <w:jc w:val="both"/>
        <w:textAlignment w:val="auto"/>
      </w:pPr>
      <w:r>
        <w:rPr>
          <w:i/>
        </w:rPr>
        <w:t>a) zapotrzebowania i jakości wody oraz ilości, jakości i sposobu odprowadzania ścieków oraz wód opadowych,</w:t>
      </w:r>
    </w:p>
    <w:p w:rsidR="00D133FA" w:rsidRDefault="00D133FA" w:rsidP="00D133FA">
      <w:pPr>
        <w:pStyle w:val="Akapitzlist"/>
        <w:widowControl/>
        <w:suppressAutoHyphens w:val="0"/>
        <w:autoSpaceDE w:val="0"/>
        <w:ind w:left="1440" w:hanging="22"/>
        <w:jc w:val="both"/>
        <w:textAlignment w:val="auto"/>
        <w:rPr>
          <w:i/>
        </w:rPr>
      </w:pPr>
      <w:r>
        <w:rPr>
          <w:i/>
        </w:rPr>
        <w:lastRenderedPageBreak/>
        <w:t>b) emisji zanieczyszczeń gazowych, w tym zapachów, pyłowych i płynnych, z podaniem ich rodzaju, ilości i zasięgu rozprzestrzeniania się,</w:t>
      </w:r>
    </w:p>
    <w:p w:rsidR="00D133FA" w:rsidRDefault="00D133FA" w:rsidP="00D133FA">
      <w:pPr>
        <w:pStyle w:val="Akapitzlist"/>
        <w:widowControl/>
        <w:suppressAutoHyphens w:val="0"/>
        <w:autoSpaceDE w:val="0"/>
        <w:ind w:left="1440" w:hanging="22"/>
        <w:jc w:val="both"/>
        <w:textAlignment w:val="auto"/>
        <w:rPr>
          <w:i/>
        </w:rPr>
      </w:pPr>
      <w:r>
        <w:rPr>
          <w:i/>
        </w:rPr>
        <w:t>c) rodzaju i ilości wytwarzanych odpadów,</w:t>
      </w:r>
    </w:p>
    <w:p w:rsidR="00D133FA" w:rsidRDefault="00D133FA" w:rsidP="00D133FA">
      <w:pPr>
        <w:pStyle w:val="Akapitzlist"/>
        <w:widowControl/>
        <w:suppressAutoHyphens w:val="0"/>
        <w:autoSpaceDE w:val="0"/>
        <w:ind w:left="1440" w:hanging="22"/>
        <w:jc w:val="both"/>
        <w:textAlignment w:val="auto"/>
      </w:pPr>
      <w:r>
        <w:rPr>
          <w:i/>
        </w:rPr>
        <w:t>d) właściwości akustycznych oraz emisji drgań, a także promieniowania, w szczególności jonizującego, pola elektromagnetycznego i innych zakłóceń, z podaniem odpowiednich parametrów tych czynników i zasięgu ich rozprzestrzeniania się,</w:t>
      </w:r>
    </w:p>
    <w:p w:rsidR="00D133FA" w:rsidRDefault="00D133FA" w:rsidP="00D133FA">
      <w:pPr>
        <w:pStyle w:val="Akapitzlist"/>
        <w:widowControl/>
        <w:suppressAutoHyphens w:val="0"/>
        <w:autoSpaceDE w:val="0"/>
        <w:ind w:left="1440" w:hanging="22"/>
        <w:jc w:val="both"/>
        <w:textAlignment w:val="auto"/>
        <w:rPr>
          <w:i/>
        </w:rPr>
      </w:pPr>
      <w:r>
        <w:rPr>
          <w:i/>
        </w:rPr>
        <w:t>e) wpływu obiektu budowlanego na istniejący drzewostan, powierzchnię ziemi, w tym glebę, wody powierzchniowe i podziemne</w:t>
      </w:r>
    </w:p>
    <w:p w:rsidR="00D133FA" w:rsidRDefault="00D133FA" w:rsidP="00D133FA">
      <w:pPr>
        <w:pStyle w:val="Akapitzlist"/>
        <w:widowControl/>
        <w:suppressAutoHyphens w:val="0"/>
        <w:autoSpaceDE w:val="0"/>
        <w:ind w:left="1440" w:hanging="22"/>
        <w:jc w:val="both"/>
        <w:textAlignment w:val="auto"/>
      </w:pPr>
      <w:r>
        <w:rPr>
          <w:i/>
        </w:rPr>
        <w:t>- uwzględniając, że przyjęte w projekcie budowlanym rozwiązania przestrzenne, funkcjonalne i techniczne powinny wykazywać ograniczenie lub eliminację wpływu obiektu budowlanego na środowisko przyrodnicze, zdrowie ludzi i inne obiekty budowlane, zgodnie z odrębnymi przepisami;</w:t>
      </w:r>
    </w:p>
    <w:p w:rsidR="00D133FA" w:rsidRDefault="00D133FA" w:rsidP="00D133FA">
      <w:pPr>
        <w:pStyle w:val="Akapitzlist"/>
        <w:widowControl/>
        <w:suppressAutoHyphens w:val="0"/>
        <w:autoSpaceDE w:val="0"/>
        <w:ind w:left="1440" w:hanging="22"/>
        <w:jc w:val="both"/>
        <w:textAlignment w:val="auto"/>
      </w:pPr>
      <w:r>
        <w:rPr>
          <w:i/>
        </w:rPr>
        <w:t>10) w przypadku zamierzenia budowlanego dotyczącego budynku - analizę technicznych, środowiskowych i ekonomicznych możliwości realizacji wysoce wydajnych systemów alternatywnych zaopatrzenia w energię i ciepło, w tym zdecentralizowanych systemów dostawy energii opartych na energii ze źródeł odnawialnych, kogenerację, ogrzewanie lub chłodzenie lokalne lub blokowe, w szczególności gdy opiera się całkowicie lub częściowo na energii z odnawialnych źródeł energii, o których mowa w art. 2 pkt 22 ustawy z dnia 20 lutego 2015 r. o odnawialnych źródłach energii (Dz. U. z 2020 r. poz. 261, 284, 568, 695, 1086 i 1503), oraz pompy ciepła, określającą:</w:t>
      </w:r>
    </w:p>
    <w:p w:rsidR="00D133FA" w:rsidRDefault="00D133FA" w:rsidP="00D133FA">
      <w:pPr>
        <w:pStyle w:val="Akapitzlist"/>
        <w:widowControl/>
        <w:suppressAutoHyphens w:val="0"/>
        <w:autoSpaceDE w:val="0"/>
        <w:ind w:left="1440" w:hanging="22"/>
        <w:jc w:val="both"/>
        <w:textAlignment w:val="auto"/>
      </w:pPr>
      <w:r>
        <w:rPr>
          <w:i/>
        </w:rPr>
        <w:t>a) oszacowanie rocznego zapotrzebowania na energię użytkową do ogrzewania, wentylacji, przygotowania ciepłej wody użytkowej,</w:t>
      </w:r>
    </w:p>
    <w:p w:rsidR="00D133FA" w:rsidRDefault="00D133FA" w:rsidP="00D133FA">
      <w:pPr>
        <w:pStyle w:val="Akapitzlist"/>
        <w:widowControl/>
        <w:suppressAutoHyphens w:val="0"/>
        <w:autoSpaceDE w:val="0"/>
        <w:ind w:left="1440" w:hanging="22"/>
        <w:jc w:val="both"/>
        <w:textAlignment w:val="auto"/>
        <w:rPr>
          <w:i/>
        </w:rPr>
      </w:pPr>
      <w:r>
        <w:rPr>
          <w:i/>
        </w:rPr>
        <w:t>b) dostępne nośniki energii,</w:t>
      </w:r>
    </w:p>
    <w:p w:rsidR="00D133FA" w:rsidRDefault="00D133FA" w:rsidP="00D133FA">
      <w:pPr>
        <w:pStyle w:val="Akapitzlist"/>
        <w:widowControl/>
        <w:suppressAutoHyphens w:val="0"/>
        <w:autoSpaceDE w:val="0"/>
        <w:ind w:left="1440" w:hanging="22"/>
        <w:jc w:val="both"/>
        <w:textAlignment w:val="auto"/>
        <w:rPr>
          <w:i/>
        </w:rPr>
      </w:pPr>
      <w:r>
        <w:rPr>
          <w:i/>
        </w:rPr>
        <w:t>c) wybór dwóch systemów zaopatrzenia w energię do analizy porównawczej:</w:t>
      </w:r>
    </w:p>
    <w:p w:rsidR="00D133FA" w:rsidRDefault="00D133FA" w:rsidP="00D133FA">
      <w:pPr>
        <w:pStyle w:val="Akapitzlist"/>
        <w:widowControl/>
        <w:suppressAutoHyphens w:val="0"/>
        <w:autoSpaceDE w:val="0"/>
        <w:ind w:left="1440" w:hanging="22"/>
        <w:jc w:val="both"/>
        <w:textAlignment w:val="auto"/>
        <w:rPr>
          <w:i/>
        </w:rPr>
      </w:pPr>
      <w:r>
        <w:rPr>
          <w:i/>
        </w:rPr>
        <w:t>– systemu konwencjonalnego oraz systemu alternatywnego albo</w:t>
      </w:r>
    </w:p>
    <w:p w:rsidR="00D133FA" w:rsidRDefault="00D133FA" w:rsidP="00D133FA">
      <w:pPr>
        <w:pStyle w:val="Akapitzlist"/>
        <w:widowControl/>
        <w:suppressAutoHyphens w:val="0"/>
        <w:autoSpaceDE w:val="0"/>
        <w:ind w:left="1440" w:hanging="22"/>
        <w:jc w:val="both"/>
        <w:textAlignment w:val="auto"/>
        <w:rPr>
          <w:i/>
        </w:rPr>
      </w:pPr>
      <w:r>
        <w:rPr>
          <w:i/>
        </w:rPr>
        <w:t>– systemu konwencjonalnego oraz systemu hybrydowego, rozumianego jako połączenie systemu konwencjonalnego i alternatywnego,</w:t>
      </w:r>
    </w:p>
    <w:p w:rsidR="00D133FA" w:rsidRDefault="00D133FA" w:rsidP="00D133FA">
      <w:pPr>
        <w:pStyle w:val="Akapitzlist"/>
        <w:widowControl/>
        <w:suppressAutoHyphens w:val="0"/>
        <w:autoSpaceDE w:val="0"/>
        <w:ind w:left="1440" w:hanging="22"/>
        <w:jc w:val="both"/>
        <w:textAlignment w:val="auto"/>
      </w:pPr>
      <w:r>
        <w:rPr>
          <w:i/>
        </w:rPr>
        <w:t>d) obliczenia optymalizacyjno-porównawcze dla wybranych systemów zaopatrzenia w energię,</w:t>
      </w:r>
    </w:p>
    <w:p w:rsidR="00D133FA" w:rsidRDefault="00D133FA" w:rsidP="00D133FA">
      <w:pPr>
        <w:pStyle w:val="Akapitzlist"/>
        <w:widowControl/>
        <w:suppressAutoHyphens w:val="0"/>
        <w:autoSpaceDE w:val="0"/>
        <w:ind w:left="1440" w:hanging="22"/>
        <w:jc w:val="both"/>
        <w:textAlignment w:val="auto"/>
        <w:rPr>
          <w:i/>
        </w:rPr>
      </w:pPr>
      <w:r>
        <w:rPr>
          <w:i/>
        </w:rPr>
        <w:t>e) wyniki analizy porównawczej i wybór systemu zaopatrzenia w energię;</w:t>
      </w:r>
    </w:p>
    <w:p w:rsidR="00D133FA" w:rsidRDefault="00D133FA" w:rsidP="00D133FA">
      <w:pPr>
        <w:pStyle w:val="Akapitzlist"/>
        <w:widowControl/>
        <w:suppressAutoHyphens w:val="0"/>
        <w:autoSpaceDE w:val="0"/>
        <w:ind w:left="1440" w:hanging="22"/>
        <w:jc w:val="both"/>
        <w:textAlignment w:val="auto"/>
      </w:pPr>
      <w:r>
        <w:rPr>
          <w:i/>
        </w:rPr>
        <w:t>11) w stosunku do budynku - analizę technicznych i ekonomicznych możliwości wykorzystania urządzeń, które automatycznie regulują temperaturę oddzielnie w poszczególnych pomieszczeniach lub w wyznaczonej strefie ogrzewanej, zgodnie z § 135 ust. 7-10 i § 147 ust. 5-7 rozporządzenia Ministra Infrastruktury z dnia 12 kwietnia 2002 r. w sprawie warunków technicznych, jakim powinny odpowiadać budynki i ich usytuowanie (Dz. U. z 2019 r. poz. 1065 oraz z 2020 r. poz. 1608);</w:t>
      </w:r>
    </w:p>
    <w:p w:rsidR="00D133FA" w:rsidRDefault="00D133FA" w:rsidP="00D133FA">
      <w:pPr>
        <w:pStyle w:val="Akapitzlist"/>
        <w:widowControl/>
        <w:suppressAutoHyphens w:val="0"/>
        <w:autoSpaceDE w:val="0"/>
        <w:ind w:left="1440" w:hanging="22"/>
        <w:jc w:val="both"/>
        <w:textAlignment w:val="auto"/>
        <w:rPr>
          <w:i/>
        </w:rPr>
      </w:pPr>
      <w:r>
        <w:rPr>
          <w:i/>
        </w:rPr>
        <w:t>12) informacje o zasadniczych elementach wyposażenia budowlano-instalacyjnego, zapewniających użytkowanie obiektu budowlanego zgodnie z przeznaczeniem;</w:t>
      </w:r>
    </w:p>
    <w:p w:rsidR="00D133FA" w:rsidRDefault="00D133FA" w:rsidP="00D133FA">
      <w:pPr>
        <w:pStyle w:val="Akapitzlist"/>
        <w:widowControl/>
        <w:suppressAutoHyphens w:val="0"/>
        <w:autoSpaceDE w:val="0"/>
        <w:ind w:left="1440" w:hanging="22"/>
        <w:jc w:val="both"/>
        <w:textAlignment w:val="auto"/>
      </w:pPr>
      <w:r>
        <w:rPr>
          <w:i/>
        </w:rPr>
        <w:t>13) dane dotyczące warunków ochrony przeciwpożarowej, stosownie do zakresu projektu</w:t>
      </w:r>
      <w:r>
        <w:t xml:space="preserve">."- opis do projektu architektoniczno-budowlanego powinien w pełni wyczerpywać zawarte w przywołanym przepisie informacje, przede wszystkim ma jasno wynikać co jest przedmiotem projektu, wymieniając wszystkie obiekty podlegające zatwierdzeniu, właściwie podając wszelkie dane dot. powierzchni użytkowej każdego budynku, przy czym dla głównego budynku powierzchnie należy rozróżnić na część magazynową, produkcyjną i </w:t>
      </w:r>
      <w:r>
        <w:lastRenderedPageBreak/>
        <w:t>handlową, oraz biurowo-socjalną. W projekcie trzeba wskazać wymiary każdego budynku (długość, szerokość, wysokość), technologię wykonania, kolorystykę, rodzaj dachu z podaniem kąta nachylenia jego połaci. Należy wyczerpać temat dotyczący przeznaczenia budynku, wskazując całą technologię, rodzaj produkcji planowaną oraz ilość wyprodukowaną, typ magazynowanych materiałów, rodzaj usług, oraz dokładnie opisać warunki ochrony przeciwpożarowej dla każdego budynku, a dla głównego budynku z rozdzieleniem na każdą z przewidywanych funkcji użytkowych;</w:t>
      </w:r>
    </w:p>
    <w:p w:rsidR="00D133FA" w:rsidRDefault="00F904CA" w:rsidP="00D133FA">
      <w:pPr>
        <w:suppressAutoHyphens w:val="0"/>
        <w:autoSpaceDE w:val="0"/>
        <w:ind w:left="851" w:hanging="425"/>
        <w:jc w:val="both"/>
        <w:textAlignment w:val="auto"/>
      </w:pPr>
      <w:r>
        <w:t>5</w:t>
      </w:r>
      <w:r w:rsidR="00D133FA">
        <w:t xml:space="preserve">.   Zgodnie z § 1 ust. 2 pkt 1 rozporządzenia Rady Ministrów z dnia 10 września 2019 r. w sprawie przedsięwzięć mogących znacząco oddziaływać na środowisko ( t.j. Dz. U. z 2019 r. poz. 1839 ze zm.), który stanowi: </w:t>
      </w:r>
      <w:r w:rsidR="00D133FA">
        <w:rPr>
          <w:i/>
        </w:rPr>
        <w:t xml:space="preserve">Użyte w rozporządzeniu określenia oznaczają: powierzchnia zabudowy – powierzchnię terenu zajętą przez obiekty budowlane oraz pozostałą powierzchnię przeznaczoną do przekształcenia, w tym tymczasowego, w celu realizacji przedsięwzięcia;" - </w:t>
      </w:r>
      <w:r w:rsidR="00D133FA">
        <w:t xml:space="preserve">należy w projekcie zagospodarowania terenu dokładnie oznaczyć obszar, który podlega przekształceniu, czyli nie pozwala na pełnienie dotychczasowej funkcji na danym terenie, jednocześnie w części opisowej projektu dokładnie tę powierzchnię wskazując- w tym organ informuje, że przekształceniu ulegają również m.in. obszary nad projektowanym uzbrojeniem terenu, </w:t>
      </w:r>
    </w:p>
    <w:p w:rsidR="00D133FA" w:rsidRDefault="00F904CA" w:rsidP="00D133FA">
      <w:pPr>
        <w:suppressAutoHyphens w:val="0"/>
        <w:autoSpaceDE w:val="0"/>
        <w:ind w:left="851" w:hanging="425"/>
        <w:jc w:val="both"/>
        <w:textAlignment w:val="auto"/>
      </w:pPr>
      <w:r>
        <w:t>6</w:t>
      </w:r>
      <w:r w:rsidR="00D133FA">
        <w:t xml:space="preserve">.   Zgodnie z art. 34 ust. 3d  ustawy Prawo budowlane, który stanowi: " </w:t>
      </w:r>
      <w:r w:rsidR="00D133FA">
        <w:rPr>
          <w:i/>
        </w:rPr>
        <w:t xml:space="preserve">Do projektu zagospodarowania działki lub terenu, projektu architektoniczno- -budowlanego oraz projektu technicznego dołącza się: </w:t>
      </w:r>
    </w:p>
    <w:p w:rsidR="00D133FA" w:rsidRDefault="00D133FA" w:rsidP="00D133FA">
      <w:pPr>
        <w:suppressAutoHyphens w:val="0"/>
        <w:autoSpaceDE w:val="0"/>
        <w:ind w:left="851"/>
        <w:jc w:val="both"/>
        <w:textAlignment w:val="auto"/>
        <w:rPr>
          <w:i/>
        </w:rPr>
      </w:pPr>
      <w:r>
        <w:rPr>
          <w:i/>
        </w:rPr>
        <w:t xml:space="preserve">1) kopię decyzji o nadaniu projektantowi lub projektantowi sprawdzającemu, jeżeli jest wymagany, uprawnień budowlanych w odpowiedniej specjalności potwierdzoną za zgodność z oryginałem przez sporządzającego projekt; </w:t>
      </w:r>
    </w:p>
    <w:p w:rsidR="00D133FA" w:rsidRDefault="00D133FA" w:rsidP="00D133FA">
      <w:pPr>
        <w:suppressAutoHyphens w:val="0"/>
        <w:autoSpaceDE w:val="0"/>
        <w:ind w:left="851"/>
        <w:jc w:val="both"/>
        <w:textAlignment w:val="auto"/>
      </w:pPr>
      <w:r>
        <w:rPr>
          <w:i/>
        </w:rPr>
        <w:t xml:space="preserve">2) kopię zaświadczenia, o którym mowa w art. 12 ust. 7, aktualnego na dzień: a) opracowania projektu – w przypadku projektanta, b) sprawdzenia projektu – w przypadku projektanta sprawdzającego; </w:t>
      </w:r>
    </w:p>
    <w:p w:rsidR="00D133FA" w:rsidRDefault="00D133FA" w:rsidP="00D133FA">
      <w:pPr>
        <w:suppressAutoHyphens w:val="0"/>
        <w:autoSpaceDE w:val="0"/>
        <w:ind w:left="851"/>
        <w:jc w:val="both"/>
        <w:textAlignment w:val="auto"/>
      </w:pPr>
      <w:r>
        <w:rPr>
          <w:i/>
        </w:rPr>
        <w:t>3) oświadczenie projektanta o sporządzeniu projektu zgodnie z obowiązującymi przepisami i zasadami wiedzy techniczne" -</w:t>
      </w:r>
      <w:r>
        <w:t xml:space="preserve"> do każdego elementu osobno należy dołączyć  oświadczenie dot. sporządzenia </w:t>
      </w:r>
      <w:r>
        <w:rPr>
          <w:u w:val="single"/>
        </w:rPr>
        <w:t>nie projektu budowlanego</w:t>
      </w:r>
      <w:r>
        <w:t xml:space="preserve">, którym jest komplet wszystkich 4 elementów, lecz </w:t>
      </w:r>
      <w:r>
        <w:rPr>
          <w:u w:val="single"/>
        </w:rPr>
        <w:t>danego, konkretnego elementu,</w:t>
      </w:r>
      <w:r>
        <w:t xml:space="preserve"> tak jak wskazuje powyższy przepis, czyli literalnie odnosząc się do projektu zagospodarowania terenu/działki, czy projektu architektoniczno- budowlanego;</w:t>
      </w:r>
    </w:p>
    <w:p w:rsidR="00D133FA" w:rsidRDefault="00F904CA" w:rsidP="00D133FA">
      <w:pPr>
        <w:suppressAutoHyphens w:val="0"/>
        <w:autoSpaceDE w:val="0"/>
        <w:ind w:left="851" w:hanging="425"/>
        <w:jc w:val="both"/>
        <w:textAlignment w:val="auto"/>
      </w:pPr>
      <w:r>
        <w:t>7</w:t>
      </w:r>
      <w:r w:rsidR="00D133FA">
        <w:t>.  Projekt należy uzupełnić o rzut drugiej kondygnacji głównego budynku, oraz o przekroje ją uwzględniające, natomiast elewacje opisać wg stron świata - dla każdego projektowanego budynku;</w:t>
      </w:r>
    </w:p>
    <w:p w:rsidR="00D133FA" w:rsidRDefault="00F904CA" w:rsidP="00D133FA">
      <w:pPr>
        <w:suppressAutoHyphens w:val="0"/>
        <w:autoSpaceDE w:val="0"/>
        <w:ind w:left="851" w:hanging="425"/>
        <w:jc w:val="both"/>
        <w:textAlignment w:val="auto"/>
      </w:pPr>
      <w:r>
        <w:t>8</w:t>
      </w:r>
      <w:r w:rsidR="00D133FA">
        <w:t>.   Rzut parteru każdego z budynków oraz przekroje należy uzupełnić o rzędną poziomu posadzki parteru;</w:t>
      </w:r>
    </w:p>
    <w:p w:rsidR="00D133FA" w:rsidRDefault="00F904CA" w:rsidP="00D133FA">
      <w:pPr>
        <w:suppressAutoHyphens w:val="0"/>
        <w:autoSpaceDE w:val="0"/>
        <w:ind w:left="851" w:hanging="425"/>
        <w:jc w:val="both"/>
        <w:textAlignment w:val="auto"/>
      </w:pPr>
      <w:r>
        <w:t>9</w:t>
      </w:r>
      <w:r w:rsidR="00D133FA">
        <w:t>.    Z rzutu parteru wynika, że przewiduje się rozdzielnię fotowoltaiki, jednak nigdzie w projekcie nie wskazano lokalizacji urządzeń z nią związanych, ani mocy zainstalowanej elektrycznej, dlatego należy uzupełnić projekt o wszystkie dane i rysunki z tym związane, oraz wskazać lokalizację planowanych paneli i w razie większej mocy wykazać spełnienie wszystkich wymagań wynikających z przepisów szczególnych;</w:t>
      </w:r>
    </w:p>
    <w:p w:rsidR="00D133FA" w:rsidRDefault="00F904CA" w:rsidP="00D133FA">
      <w:pPr>
        <w:suppressAutoHyphens w:val="0"/>
        <w:autoSpaceDE w:val="0"/>
        <w:ind w:left="851" w:hanging="425"/>
        <w:jc w:val="both"/>
        <w:textAlignment w:val="auto"/>
      </w:pPr>
      <w:r>
        <w:t>10</w:t>
      </w:r>
      <w:r w:rsidR="00D133FA">
        <w:t xml:space="preserve">.    Decyzja Wójta Gminy Lesznowola nr 90/2021 z dnia 18 sierpnia 2021 r. o środowiskowych uwarunkowaniach  została wydana dla inwestycji polegającej na: „budowie zespołu produkcyjno-magazynowo-usługowego wraz z zespołem socjalno-biurowym (…)”, natomiast w związku z wejściem w życie uchwały nr </w:t>
      </w:r>
      <w:r w:rsidR="00D133FA">
        <w:lastRenderedPageBreak/>
        <w:t>578/XLVIII/2022 Rady Gminy Lesznowola z dnia 24 marca 2022 r. w sprawie uchwalenia miejscowego planu zagospodarowania przestrzennego gminy Lesznowola dla części obrębu  Wilcza Góra, zamierzenie budowlane musi ulec zmianie - tj. musi zostać doprowadzone do zgodności z zapisami planu, które nie przewidują na danym obszarze budynków produkcyjnych. Dlatego należy wystąpić o wydanie nowej decyzji o środowiskowych uwarunkowaniach, która będzie zgodna ze zmienionym zamierzeniem budowlanym, jakie jest dopuszczalne na działkach objętych wnioskiem, jednocześnie wykazując spełnienie  wynikających z niej obowiązków. Należy pamiętać, by decyzję dołączyć do elementu o nazwie „załączniki projektu budowlanego”;</w:t>
      </w:r>
    </w:p>
    <w:p w:rsidR="00D133FA" w:rsidRDefault="00F904CA" w:rsidP="00D133FA">
      <w:pPr>
        <w:suppressAutoHyphens w:val="0"/>
        <w:autoSpaceDE w:val="0"/>
        <w:ind w:left="851" w:hanging="425"/>
        <w:jc w:val="both"/>
        <w:textAlignment w:val="auto"/>
      </w:pPr>
      <w:r>
        <w:t>11</w:t>
      </w:r>
      <w:r w:rsidR="00D133FA">
        <w:t>. Należy pamiętać o parafowaniu dokonanych zmian i skreśleń w projekcie budowlanym przez właściwego projektanta z podaniem daty ich wprowadzenia, tak by w przyszłości nie powstały wątpliwości kto i kiedy je wprowadził</w:t>
      </w:r>
    </w:p>
    <w:p w:rsidR="00D133FA" w:rsidRDefault="00D133FA" w:rsidP="003829AA">
      <w:pPr>
        <w:ind w:left="777"/>
        <w:jc w:val="both"/>
        <w:rPr>
          <w:color w:val="66CC00"/>
        </w:rPr>
      </w:pPr>
    </w:p>
    <w:p w:rsidR="00D133FA" w:rsidRDefault="00D133FA" w:rsidP="003829AA">
      <w:pPr>
        <w:ind w:left="777"/>
        <w:jc w:val="both"/>
        <w:rPr>
          <w:color w:val="66CC00"/>
        </w:rPr>
      </w:pPr>
    </w:p>
    <w:p w:rsidR="00D133FA" w:rsidRDefault="00D133FA" w:rsidP="00D133FA">
      <w:pPr>
        <w:pStyle w:val="Standard"/>
        <w:ind w:firstLine="708"/>
        <w:jc w:val="both"/>
      </w:pPr>
      <w:r w:rsidRPr="00D133FA">
        <w:t xml:space="preserve">W dniu </w:t>
      </w:r>
      <w:r>
        <w:t>W dniu 29 sierpnia 2022 r. wpłynęło uzupełnienie do powyższego postanowienia, wraz ze zmianą wniosku w zakresie zamierzenia budowlanego, całkowicie zmieniając rodzaj obiektu budowlanego objętego wnioskiem, jak również jego architekturę i całe zagospodarowanie terenu.</w:t>
      </w:r>
    </w:p>
    <w:p w:rsidR="00330FD8" w:rsidRDefault="000C7D2E" w:rsidP="00330FD8">
      <w:pPr>
        <w:pStyle w:val="Standard"/>
        <w:tabs>
          <w:tab w:val="right" w:pos="-26911"/>
          <w:tab w:val="left" w:pos="-26787"/>
        </w:tabs>
        <w:jc w:val="both"/>
      </w:pPr>
      <w:r>
        <w:t xml:space="preserve">            </w:t>
      </w:r>
      <w:r w:rsidR="00D133FA">
        <w:t>W związku z powyższym organ przystąpił do ponownej analizy pod względem materialnoprawnym zgodnie z art. 35 ust. 1 ustawy - Prawo budowlane, a po stwierdzeniu kolejnych niezgodności, postanowieniem z dnia 28 października 2022 r. nałożył na inwestora obowiązek ich uzupełnienia w terminie 60 dni</w:t>
      </w:r>
      <w:r w:rsidR="00330FD8">
        <w:t>, następujących braków i nieprawidłowości w przedłożonych egzemplarzach projektu poprzez:</w:t>
      </w:r>
    </w:p>
    <w:p w:rsidR="00330FD8" w:rsidRDefault="00F011DC" w:rsidP="00F011DC">
      <w:pPr>
        <w:pStyle w:val="Akapitzlist"/>
        <w:widowControl/>
        <w:pBdr>
          <w:top w:val="none" w:sz="0" w:space="0" w:color="auto"/>
          <w:left w:val="none" w:sz="0" w:space="0" w:color="auto"/>
          <w:bottom w:val="none" w:sz="0" w:space="0" w:color="auto"/>
          <w:right w:val="none" w:sz="0" w:space="0" w:color="auto"/>
        </w:pBdr>
        <w:suppressAutoHyphens w:val="0"/>
        <w:autoSpaceDE w:val="0"/>
        <w:autoSpaceDN w:val="0"/>
        <w:ind w:left="709" w:hanging="349"/>
        <w:jc w:val="both"/>
        <w:textAlignment w:val="auto"/>
      </w:pPr>
      <w:r>
        <w:t xml:space="preserve">1. </w:t>
      </w:r>
      <w:r w:rsidR="00330FD8">
        <w:t xml:space="preserve">Projekt doprowadzić do zgodności z uchwałą nr 578/XLVIII/2022 Rady Gminy Lesznowola z dnia 24 marca 2022 r. w sprawie uchwalenia miejscowego planu zagospodarowania przestrzennego gminy Lesznowola dla części obrębu  Wilcza Góra (t.j. Dz. Urz. Woj. Maz. z dnia 29 kwietnia 2022 r. poz. 5117), w zakresie: </w:t>
      </w:r>
    </w:p>
    <w:p w:rsidR="00330FD8" w:rsidRPr="00352903" w:rsidRDefault="00330FD8" w:rsidP="00906F51">
      <w:pPr>
        <w:pStyle w:val="Akapitzlist"/>
        <w:widowControl/>
        <w:numPr>
          <w:ilvl w:val="0"/>
          <w:numId w:val="31"/>
        </w:numPr>
        <w:pBdr>
          <w:top w:val="none" w:sz="0" w:space="0" w:color="auto"/>
          <w:left w:val="none" w:sz="0" w:space="0" w:color="auto"/>
          <w:bottom w:val="none" w:sz="0" w:space="0" w:color="auto"/>
          <w:right w:val="none" w:sz="0" w:space="0" w:color="auto"/>
        </w:pBdr>
        <w:suppressAutoHyphens w:val="0"/>
        <w:autoSpaceDE w:val="0"/>
        <w:autoSpaceDN w:val="0"/>
        <w:jc w:val="both"/>
        <w:textAlignment w:val="auto"/>
        <w:rPr>
          <w:i/>
        </w:rPr>
      </w:pPr>
      <w:r w:rsidRPr="00DE1BBA">
        <w:rPr>
          <w:rFonts w:ascii="Times New Roman" w:hAnsi="Times New Roman" w:cs="Times New Roman"/>
        </w:rPr>
        <w:t>§</w:t>
      </w:r>
      <w:r>
        <w:t xml:space="preserve"> 14 pkt 4, brzmiący, że: „</w:t>
      </w:r>
      <w:r w:rsidRPr="00352903">
        <w:rPr>
          <w:i/>
        </w:rPr>
        <w:t>zasady kształtowania zabudowy, zagospodarowania terenu oraz kształtowania ładu przestrzennego:</w:t>
      </w:r>
      <w:r w:rsidRPr="00352903">
        <w:rPr>
          <w:i/>
        </w:rPr>
        <w:cr/>
        <w:t xml:space="preserve"> a) maksymalna intensywność zabudowy - 1,5,</w:t>
      </w:r>
    </w:p>
    <w:p w:rsidR="00330FD8" w:rsidRPr="00352903" w:rsidRDefault="00330FD8" w:rsidP="00330FD8">
      <w:pPr>
        <w:pStyle w:val="Akapitzlist"/>
        <w:widowControl/>
        <w:suppressAutoHyphens w:val="0"/>
        <w:autoSpaceDE w:val="0"/>
        <w:ind w:left="1440"/>
        <w:jc w:val="both"/>
        <w:textAlignment w:val="auto"/>
        <w:rPr>
          <w:i/>
        </w:rPr>
      </w:pPr>
      <w:r w:rsidRPr="00352903">
        <w:rPr>
          <w:i/>
        </w:rPr>
        <w:t>b) minimalna intensywność zabudowy - 0,001,</w:t>
      </w:r>
    </w:p>
    <w:p w:rsidR="00330FD8" w:rsidRPr="00352903" w:rsidRDefault="00330FD8" w:rsidP="00330FD8">
      <w:pPr>
        <w:pStyle w:val="Akapitzlist"/>
        <w:widowControl/>
        <w:suppressAutoHyphens w:val="0"/>
        <w:autoSpaceDE w:val="0"/>
        <w:ind w:left="1440"/>
        <w:jc w:val="both"/>
        <w:textAlignment w:val="auto"/>
        <w:rPr>
          <w:i/>
          <w:u w:val="single"/>
        </w:rPr>
      </w:pPr>
      <w:r w:rsidRPr="00352903">
        <w:rPr>
          <w:i/>
          <w:u w:val="single"/>
        </w:rPr>
        <w:t>c) maksymalna powierzchnia zabudowy w odniesieniu do powierzchni działki</w:t>
      </w:r>
    </w:p>
    <w:p w:rsidR="00330FD8" w:rsidRPr="00352903" w:rsidRDefault="00330FD8" w:rsidP="00330FD8">
      <w:pPr>
        <w:pStyle w:val="Akapitzlist"/>
        <w:widowControl/>
        <w:suppressAutoHyphens w:val="0"/>
        <w:autoSpaceDE w:val="0"/>
        <w:ind w:left="1440"/>
        <w:jc w:val="both"/>
        <w:textAlignment w:val="auto"/>
        <w:rPr>
          <w:i/>
          <w:u w:val="single"/>
        </w:rPr>
      </w:pPr>
      <w:r w:rsidRPr="00352903">
        <w:rPr>
          <w:i/>
          <w:u w:val="single"/>
        </w:rPr>
        <w:t>budowlanej - 70%,</w:t>
      </w:r>
    </w:p>
    <w:p w:rsidR="00330FD8" w:rsidRDefault="00330FD8" w:rsidP="00330FD8">
      <w:pPr>
        <w:pStyle w:val="Akapitzlist"/>
        <w:widowControl/>
        <w:suppressAutoHyphens w:val="0"/>
        <w:autoSpaceDE w:val="0"/>
        <w:ind w:left="1440"/>
        <w:jc w:val="both"/>
        <w:textAlignment w:val="auto"/>
      </w:pPr>
      <w:r w:rsidRPr="00352903">
        <w:rPr>
          <w:i/>
        </w:rPr>
        <w:t>d) minimalny udział procentowy powierzchni biologicznie czynnej</w:t>
      </w:r>
      <w:r>
        <w:rPr>
          <w:i/>
        </w:rPr>
        <w:t xml:space="preserve"> </w:t>
      </w:r>
      <w:r w:rsidRPr="00352903">
        <w:rPr>
          <w:i/>
        </w:rPr>
        <w:t>w odniesieniu do powierzchni działki budowlanej - 20%,</w:t>
      </w:r>
      <w:r>
        <w:rPr>
          <w:i/>
        </w:rPr>
        <w:t xml:space="preserve">”, </w:t>
      </w:r>
      <w:r>
        <w:t xml:space="preserve">mając na uwadze definicję powierzchni biologicznie czynnej zawartej w </w:t>
      </w:r>
      <w:r>
        <w:rPr>
          <w:rFonts w:ascii="Times New Roman" w:hAnsi="Times New Roman" w:cs="Times New Roman"/>
        </w:rPr>
        <w:t>§</w:t>
      </w:r>
      <w:r>
        <w:t xml:space="preserve"> 5 ust. 1 pkt 4, który stanowi: „</w:t>
      </w:r>
      <w:r w:rsidRPr="00352903">
        <w:rPr>
          <w:i/>
        </w:rPr>
        <w:t>Ilekroć w niniejszej uchwale jest mowa o:powierzchni biologicznie czynnej - należy przez to rozumieć grunt rodzimy pokryty roślinnością oraz wodą powierzchniową na działce budowlanej, który pozostaje niezabudowany i nieutwardzony; w szczególności za powierzchnię biologicznie czynną nie uznaje się: zieleni projektowanej na dachach i ścianach budynków, budowli nadziemnych i podziemnych oraz na płytach ażurowych</w:t>
      </w:r>
      <w:r>
        <w:t>;” – organ zwraca uwagę, że w bilansie terenu do utwardzeń nie wliczono podziemnych zbiorników na nieczystości płynne, które natomiast zostały uznane za powierzchnię biologicznie czynną, zatem niezgodnie z przywołaną jej definicją, co należy bezwzględnie poprawić;</w:t>
      </w:r>
    </w:p>
    <w:p w:rsidR="00330FD8" w:rsidRDefault="00330FD8" w:rsidP="00F011DC">
      <w:pPr>
        <w:pStyle w:val="Akapitzlist"/>
        <w:widowControl/>
        <w:numPr>
          <w:ilvl w:val="0"/>
          <w:numId w:val="5"/>
        </w:numPr>
        <w:pBdr>
          <w:top w:val="none" w:sz="0" w:space="0" w:color="auto"/>
          <w:left w:val="none" w:sz="0" w:space="0" w:color="auto"/>
          <w:bottom w:val="none" w:sz="0" w:space="0" w:color="auto"/>
          <w:right w:val="none" w:sz="0" w:space="0" w:color="auto"/>
        </w:pBdr>
        <w:suppressAutoHyphens w:val="0"/>
        <w:autoSpaceDE w:val="0"/>
        <w:autoSpaceDN w:val="0"/>
        <w:jc w:val="both"/>
        <w:textAlignment w:val="auto"/>
      </w:pPr>
      <w:r>
        <w:lastRenderedPageBreak/>
        <w:t>Projekt doprowadzić do zgodności z rozporządzeniem Ministra Infrastruktury z dnia 12 kwietnia 2002 r. w sprawie warunków technicznych, jakim powinny odpowiadać budynki i ich usytuowanie (t.j. Dz. U. z 2022 r. poz. 1225), w zakresie:</w:t>
      </w:r>
    </w:p>
    <w:p w:rsidR="00330FD8" w:rsidRPr="001F0FDC" w:rsidRDefault="00330FD8" w:rsidP="00F011DC">
      <w:pPr>
        <w:pStyle w:val="Akapitzlist"/>
        <w:widowControl/>
        <w:numPr>
          <w:ilvl w:val="0"/>
          <w:numId w:val="34"/>
        </w:numPr>
        <w:pBdr>
          <w:top w:val="none" w:sz="0" w:space="0" w:color="auto"/>
          <w:left w:val="none" w:sz="0" w:space="0" w:color="auto"/>
          <w:bottom w:val="none" w:sz="0" w:space="0" w:color="auto"/>
          <w:right w:val="none" w:sz="0" w:space="0" w:color="auto"/>
        </w:pBdr>
        <w:suppressAutoHyphens w:val="0"/>
        <w:autoSpaceDE w:val="0"/>
        <w:autoSpaceDN w:val="0"/>
        <w:jc w:val="both"/>
        <w:textAlignment w:val="auto"/>
        <w:rPr>
          <w:i/>
        </w:rPr>
      </w:pPr>
      <w:r>
        <w:rPr>
          <w:rFonts w:ascii="Times New Roman" w:hAnsi="Times New Roman" w:cs="Times New Roman"/>
        </w:rPr>
        <w:t>§</w:t>
      </w:r>
      <w:r>
        <w:t xml:space="preserve"> 19 ust. 2, brzmiącym, że: „</w:t>
      </w:r>
      <w:r w:rsidRPr="001F0FDC">
        <w:rPr>
          <w:i/>
        </w:rPr>
        <w:t>Stanowiska postojowe, w tym również zadaszone, oraz otwarte garaże wielopoziomowe należy sytuować na działce budowlanej w odległości od granicy tej działki nie mniejszej niż:</w:t>
      </w:r>
    </w:p>
    <w:p w:rsidR="00330FD8" w:rsidRPr="001F0FDC" w:rsidRDefault="00330FD8" w:rsidP="00330FD8">
      <w:pPr>
        <w:pStyle w:val="Akapitzlist"/>
        <w:widowControl/>
        <w:suppressAutoHyphens w:val="0"/>
        <w:autoSpaceDE w:val="0"/>
        <w:ind w:left="1440"/>
        <w:jc w:val="both"/>
        <w:textAlignment w:val="auto"/>
        <w:rPr>
          <w:i/>
        </w:rPr>
      </w:pPr>
      <w:r w:rsidRPr="001F0FDC">
        <w:rPr>
          <w:i/>
        </w:rPr>
        <w:t>1)dla samochodów osobowych:</w:t>
      </w:r>
    </w:p>
    <w:p w:rsidR="00330FD8" w:rsidRPr="001F0FDC" w:rsidRDefault="00330FD8" w:rsidP="00330FD8">
      <w:pPr>
        <w:pStyle w:val="Akapitzlist"/>
        <w:widowControl/>
        <w:suppressAutoHyphens w:val="0"/>
        <w:autoSpaceDE w:val="0"/>
        <w:ind w:left="1701" w:hanging="261"/>
        <w:jc w:val="both"/>
        <w:textAlignment w:val="auto"/>
        <w:rPr>
          <w:i/>
        </w:rPr>
      </w:pPr>
      <w:r w:rsidRPr="001F0FDC">
        <w:rPr>
          <w:i/>
        </w:rPr>
        <w:t>a)</w:t>
      </w:r>
      <w:r w:rsidRPr="001F0FDC">
        <w:rPr>
          <w:i/>
        </w:rPr>
        <w:tab/>
        <w:t>3 m - w przypadku parkingu do 10 stanowisk postojowych włącznie,</w:t>
      </w:r>
    </w:p>
    <w:p w:rsidR="00330FD8" w:rsidRPr="001F0FDC" w:rsidRDefault="00330FD8" w:rsidP="00330FD8">
      <w:pPr>
        <w:pStyle w:val="Akapitzlist"/>
        <w:widowControl/>
        <w:suppressAutoHyphens w:val="0"/>
        <w:autoSpaceDE w:val="0"/>
        <w:ind w:left="1701" w:hanging="261"/>
        <w:jc w:val="both"/>
        <w:textAlignment w:val="auto"/>
        <w:rPr>
          <w:i/>
        </w:rPr>
      </w:pPr>
      <w:r w:rsidRPr="001F0FDC">
        <w:rPr>
          <w:i/>
        </w:rPr>
        <w:t>b) 6 m - w przypadku parkingu od 11 do 60 stanowisk postojowych włącznie,</w:t>
      </w:r>
    </w:p>
    <w:p w:rsidR="00330FD8" w:rsidRDefault="00330FD8" w:rsidP="00330FD8">
      <w:pPr>
        <w:pStyle w:val="Akapitzlist"/>
        <w:widowControl/>
        <w:suppressAutoHyphens w:val="0"/>
        <w:autoSpaceDE w:val="0"/>
        <w:ind w:left="1440"/>
        <w:jc w:val="both"/>
        <w:textAlignment w:val="auto"/>
      </w:pPr>
      <w:r w:rsidRPr="001F0FDC">
        <w:rPr>
          <w:i/>
        </w:rPr>
        <w:t>c) 16 m - w przypadku parkingu powyżej 60 stanowisk postojowych;</w:t>
      </w:r>
      <w:r>
        <w:t>” –wg projektu planuje się 76 miejsc postojowych, zatem obowiązują odległości od granicy z działką, wynoszącą 16 m, zaś w projekcie zagospodarowania terenu odległości te wynoszą poniżej tej wartości ( miejscami 10m, albo 13m), co należy poprawić wykazując zgodność z powyższym przepisem;</w:t>
      </w:r>
    </w:p>
    <w:p w:rsidR="00330FD8" w:rsidRDefault="00F011DC" w:rsidP="00330FD8">
      <w:pPr>
        <w:pStyle w:val="Akapitzlist"/>
        <w:widowControl/>
        <w:suppressAutoHyphens w:val="0"/>
        <w:autoSpaceDE w:val="0"/>
        <w:ind w:left="709" w:hanging="283"/>
        <w:jc w:val="both"/>
        <w:textAlignment w:val="auto"/>
      </w:pPr>
      <w:r>
        <w:rPr>
          <w:rFonts w:ascii="Times New Roman" w:hAnsi="Times New Roman" w:cs="Times New Roman"/>
        </w:rPr>
        <w:t>3</w:t>
      </w:r>
      <w:r w:rsidR="00330FD8">
        <w:rPr>
          <w:rFonts w:ascii="Times New Roman" w:hAnsi="Times New Roman" w:cs="Times New Roman"/>
        </w:rPr>
        <w:t xml:space="preserve">. </w:t>
      </w:r>
      <w:r w:rsidR="00330FD8">
        <w:rPr>
          <w:rFonts w:ascii="Times New Roman" w:hAnsi="Times New Roman" w:cs="Times New Roman"/>
          <w:i/>
        </w:rPr>
        <w:t xml:space="preserve"> </w:t>
      </w:r>
      <w:r w:rsidR="00330FD8">
        <w:rPr>
          <w:rFonts w:ascii="Times New Roman" w:hAnsi="Times New Roman" w:cs="Times New Roman"/>
        </w:rPr>
        <w:t>Projekt budowlany doprowadzić do zgodności z  rozporządzeniem Ministra Rozwoju z dnia 11 września 2020 r. w sprawie szczegółowego zakresu i formy projektu budowlanego ( t.j. Dz. U. z 2020 r. poz. 1609 ze zm.), w zakresie:</w:t>
      </w:r>
    </w:p>
    <w:p w:rsidR="00330FD8" w:rsidRDefault="00330FD8" w:rsidP="00F011DC">
      <w:pPr>
        <w:pStyle w:val="Akapitzlist"/>
        <w:widowControl/>
        <w:numPr>
          <w:ilvl w:val="0"/>
          <w:numId w:val="35"/>
        </w:numPr>
        <w:pBdr>
          <w:top w:val="none" w:sz="0" w:space="0" w:color="auto"/>
          <w:left w:val="none" w:sz="0" w:space="0" w:color="auto"/>
          <w:bottom w:val="none" w:sz="0" w:space="0" w:color="auto"/>
          <w:right w:val="none" w:sz="0" w:space="0" w:color="auto"/>
        </w:pBdr>
        <w:suppressAutoHyphens w:val="0"/>
        <w:autoSpaceDE w:val="0"/>
        <w:autoSpaceDN w:val="0"/>
        <w:jc w:val="both"/>
        <w:textAlignment w:val="auto"/>
      </w:pPr>
      <w:r>
        <w:rPr>
          <w:rFonts w:ascii="Times New Roman" w:hAnsi="Times New Roman" w:cs="Times New Roman"/>
        </w:rPr>
        <w:t>§ 5 ust. 1 , który stanowi: „</w:t>
      </w:r>
      <w:r>
        <w:rPr>
          <w:rFonts w:ascii="Times New Roman" w:hAnsi="Times New Roman" w:cs="Times New Roman"/>
          <w:i/>
        </w:rPr>
        <w:t>Oprawia się następujące elementy projektu budowlanego:</w:t>
      </w:r>
    </w:p>
    <w:p w:rsidR="00330FD8" w:rsidRDefault="00330FD8" w:rsidP="00330FD8">
      <w:pPr>
        <w:pStyle w:val="Akapitzlist"/>
        <w:widowControl/>
        <w:suppressAutoHyphens w:val="0"/>
        <w:autoSpaceDE w:val="0"/>
        <w:ind w:left="1440"/>
        <w:jc w:val="both"/>
        <w:textAlignment w:val="auto"/>
        <w:rPr>
          <w:rFonts w:ascii="Times New Roman" w:hAnsi="Times New Roman" w:cs="Times New Roman"/>
          <w:i/>
        </w:rPr>
      </w:pPr>
      <w:r>
        <w:rPr>
          <w:rFonts w:ascii="Times New Roman" w:hAnsi="Times New Roman" w:cs="Times New Roman"/>
          <w:i/>
        </w:rPr>
        <w:t>1) projekt zagospodarowania działki lub terenu;</w:t>
      </w:r>
    </w:p>
    <w:p w:rsidR="00330FD8" w:rsidRDefault="00330FD8" w:rsidP="00330FD8">
      <w:pPr>
        <w:pStyle w:val="Akapitzlist"/>
        <w:widowControl/>
        <w:suppressAutoHyphens w:val="0"/>
        <w:autoSpaceDE w:val="0"/>
        <w:ind w:left="1440"/>
        <w:jc w:val="both"/>
        <w:textAlignment w:val="auto"/>
        <w:rPr>
          <w:rFonts w:ascii="Times New Roman" w:hAnsi="Times New Roman" w:cs="Times New Roman"/>
          <w:i/>
        </w:rPr>
      </w:pPr>
      <w:r>
        <w:rPr>
          <w:rFonts w:ascii="Times New Roman" w:hAnsi="Times New Roman" w:cs="Times New Roman"/>
          <w:i/>
        </w:rPr>
        <w:t>2) projekt architektoniczno-budowlany;</w:t>
      </w:r>
    </w:p>
    <w:p w:rsidR="00330FD8" w:rsidRDefault="00330FD8" w:rsidP="00330FD8">
      <w:pPr>
        <w:pStyle w:val="Akapitzlist"/>
        <w:widowControl/>
        <w:suppressAutoHyphens w:val="0"/>
        <w:autoSpaceDE w:val="0"/>
        <w:ind w:left="1440"/>
        <w:jc w:val="both"/>
        <w:textAlignment w:val="auto"/>
        <w:rPr>
          <w:rFonts w:ascii="Times New Roman" w:hAnsi="Times New Roman" w:cs="Times New Roman"/>
          <w:i/>
        </w:rPr>
      </w:pPr>
      <w:r>
        <w:rPr>
          <w:rFonts w:ascii="Times New Roman" w:hAnsi="Times New Roman" w:cs="Times New Roman"/>
          <w:i/>
        </w:rPr>
        <w:t>3) projekt techniczny;</w:t>
      </w:r>
    </w:p>
    <w:p w:rsidR="00330FD8" w:rsidRDefault="00330FD8" w:rsidP="00330FD8">
      <w:pPr>
        <w:pStyle w:val="Akapitzlist"/>
        <w:widowControl/>
        <w:suppressAutoHyphens w:val="0"/>
        <w:autoSpaceDE w:val="0"/>
        <w:ind w:left="1440"/>
        <w:jc w:val="both"/>
        <w:textAlignment w:val="auto"/>
        <w:rPr>
          <w:rFonts w:ascii="Times New Roman" w:hAnsi="Times New Roman" w:cs="Times New Roman"/>
          <w:i/>
        </w:rPr>
      </w:pPr>
      <w:r>
        <w:rPr>
          <w:rFonts w:ascii="Times New Roman" w:hAnsi="Times New Roman" w:cs="Times New Roman"/>
          <w:i/>
        </w:rPr>
        <w:t>4) załączniki projektu budowlanego:</w:t>
      </w:r>
    </w:p>
    <w:p w:rsidR="00330FD8" w:rsidRDefault="00330FD8" w:rsidP="00330FD8">
      <w:pPr>
        <w:pStyle w:val="Akapitzlist"/>
        <w:widowControl/>
        <w:suppressAutoHyphens w:val="0"/>
        <w:autoSpaceDE w:val="0"/>
        <w:ind w:left="1440"/>
        <w:jc w:val="both"/>
        <w:textAlignment w:val="auto"/>
        <w:rPr>
          <w:rFonts w:ascii="Times New Roman" w:hAnsi="Times New Roman" w:cs="Times New Roman"/>
          <w:i/>
        </w:rPr>
      </w:pPr>
      <w:r>
        <w:rPr>
          <w:rFonts w:ascii="Times New Roman" w:hAnsi="Times New Roman" w:cs="Times New Roman"/>
          <w:i/>
        </w:rPr>
        <w:t>a) opinie, uzgodnienia, pozwolenia i inne dokumenty, o których mowa w art. 33 ust. 2 pkt 1 ustawy,</w:t>
      </w:r>
    </w:p>
    <w:p w:rsidR="00330FD8" w:rsidRDefault="00330FD8" w:rsidP="00330FD8">
      <w:pPr>
        <w:pStyle w:val="Akapitzlist"/>
        <w:widowControl/>
        <w:suppressAutoHyphens w:val="0"/>
        <w:autoSpaceDE w:val="0"/>
        <w:ind w:left="1440"/>
        <w:jc w:val="both"/>
        <w:textAlignment w:val="auto"/>
        <w:rPr>
          <w:rFonts w:ascii="Times New Roman" w:hAnsi="Times New Roman" w:cs="Times New Roman"/>
          <w:i/>
        </w:rPr>
      </w:pPr>
      <w:r>
        <w:rPr>
          <w:rFonts w:ascii="Times New Roman" w:hAnsi="Times New Roman" w:cs="Times New Roman"/>
          <w:i/>
        </w:rPr>
        <w:t>b) oświadczenie właściwego zarządcy drogi o możliwości połączenia działki z drogą, zgodnie z przepisami o drogach publicznych, o którym mowa w art. 34 ust. 3 pkt 4 ustawy – w przypadku drogi krajowej lub wojewódzkiej,</w:t>
      </w:r>
    </w:p>
    <w:p w:rsidR="00330FD8" w:rsidRPr="00030AE5" w:rsidRDefault="00330FD8" w:rsidP="00330FD8">
      <w:pPr>
        <w:pStyle w:val="Akapitzlist"/>
        <w:widowControl/>
        <w:suppressAutoHyphens w:val="0"/>
        <w:autoSpaceDE w:val="0"/>
        <w:ind w:left="1440"/>
        <w:jc w:val="both"/>
        <w:textAlignment w:val="auto"/>
        <w:rPr>
          <w:rFonts w:ascii="Times New Roman" w:hAnsi="Times New Roman" w:cs="Times New Roman"/>
        </w:rPr>
      </w:pPr>
      <w:r>
        <w:rPr>
          <w:rFonts w:ascii="Times New Roman" w:hAnsi="Times New Roman" w:cs="Times New Roman"/>
          <w:i/>
        </w:rPr>
        <w:t>c) informację dotyczącą bezpieczeństwa i ochrony zdrowia, o której mowa w art. 20 ust. 1 pkt 1b ustawy.</w:t>
      </w:r>
      <w:r>
        <w:rPr>
          <w:rFonts w:ascii="Times New Roman" w:hAnsi="Times New Roman" w:cs="Times New Roman"/>
        </w:rPr>
        <w:t>”- organ ponownie wyjaśnia, że „projekt budowlany” składa się z powyższych elementów, dlatego też nazywać nim można jedynie ich komplet, a nie części składowe. Poza tym, elementy te należy nazywać poprawnie, dokładnie tak jak wskazał ustawodawca, czyli „załączników projektu budowlanego” nie należy nazywać w inny sposób, typu: „opinie, uzgodnienia i inne dokumenty formalno-prawne”;</w:t>
      </w:r>
    </w:p>
    <w:p w:rsidR="00330FD8" w:rsidRDefault="00F011DC" w:rsidP="00330FD8">
      <w:pPr>
        <w:suppressAutoHyphens w:val="0"/>
        <w:autoSpaceDE w:val="0"/>
        <w:ind w:left="1418" w:hanging="284"/>
        <w:jc w:val="both"/>
        <w:textAlignment w:val="auto"/>
      </w:pPr>
      <w:r>
        <w:t>2</w:t>
      </w:r>
      <w:r w:rsidR="00330FD8">
        <w:t>)  § 5 ust. 2, brzmiący: „</w:t>
      </w:r>
      <w:r w:rsidR="00330FD8" w:rsidRPr="007D298D">
        <w:rPr>
          <w:i/>
        </w:rPr>
        <w:t>Dopuszcza się oprawę wielotomową elementów projektu budowlanego.”</w:t>
      </w:r>
      <w:r w:rsidR="00330FD8">
        <w:t>- przepis ten należy rozumieć, że na tomy może być podzielony dany element (np. projekt zagospodarowania terenu tom I i tom II), nie zaś w sposób polegający na tym, że jeden element projektu budowlanego jest tomem I względem pozostałych elementów, dlatego należy to poprawić;</w:t>
      </w:r>
    </w:p>
    <w:p w:rsidR="00330FD8" w:rsidRDefault="00F011DC" w:rsidP="00330FD8">
      <w:pPr>
        <w:suppressAutoHyphens w:val="0"/>
        <w:autoSpaceDE w:val="0"/>
        <w:ind w:left="1080"/>
        <w:jc w:val="both"/>
        <w:textAlignment w:val="auto"/>
      </w:pPr>
      <w:r>
        <w:t xml:space="preserve"> 3</w:t>
      </w:r>
      <w:r w:rsidR="00330FD8">
        <w:t xml:space="preserve">)  § 7 ust. 2 , który stanowi: </w:t>
      </w:r>
      <w:r w:rsidR="00330FD8">
        <w:rPr>
          <w:i/>
        </w:rPr>
        <w:t>" Na stronie tytułowej zamieszcza się:</w:t>
      </w:r>
    </w:p>
    <w:p w:rsidR="00330FD8" w:rsidRDefault="00330FD8" w:rsidP="00330FD8">
      <w:pPr>
        <w:pStyle w:val="Akapitzlist"/>
        <w:widowControl/>
        <w:suppressAutoHyphens w:val="0"/>
        <w:autoSpaceDE w:val="0"/>
        <w:ind w:left="1440"/>
        <w:jc w:val="both"/>
        <w:textAlignment w:val="auto"/>
      </w:pPr>
      <w:r>
        <w:rPr>
          <w:rFonts w:ascii="Times New Roman" w:hAnsi="Times New Roman" w:cs="Times New Roman"/>
          <w:i/>
        </w:rPr>
        <w:t>1) nazwę elementu projektu budowlanego, którego ona dotyczy; informacje dotyczące zamierzenia budowlanego:</w:t>
      </w:r>
    </w:p>
    <w:p w:rsidR="00330FD8" w:rsidRDefault="00330FD8" w:rsidP="00330FD8">
      <w:pPr>
        <w:pStyle w:val="Akapitzlist"/>
        <w:widowControl/>
        <w:suppressAutoHyphens w:val="0"/>
        <w:autoSpaceDE w:val="0"/>
        <w:ind w:left="1440"/>
        <w:jc w:val="both"/>
        <w:textAlignment w:val="auto"/>
        <w:rPr>
          <w:rFonts w:ascii="Times New Roman" w:hAnsi="Times New Roman" w:cs="Times New Roman"/>
          <w:i/>
        </w:rPr>
      </w:pPr>
      <w:r>
        <w:rPr>
          <w:rFonts w:ascii="Times New Roman" w:hAnsi="Times New Roman" w:cs="Times New Roman"/>
          <w:i/>
        </w:rPr>
        <w:t>a) nazwę zamierzenia budowlanego,</w:t>
      </w:r>
    </w:p>
    <w:p w:rsidR="00330FD8" w:rsidRDefault="00330FD8" w:rsidP="00330FD8">
      <w:pPr>
        <w:pStyle w:val="Akapitzlist"/>
        <w:widowControl/>
        <w:suppressAutoHyphens w:val="0"/>
        <w:autoSpaceDE w:val="0"/>
        <w:ind w:left="1440"/>
        <w:jc w:val="both"/>
        <w:textAlignment w:val="auto"/>
        <w:rPr>
          <w:rFonts w:ascii="Times New Roman" w:hAnsi="Times New Roman" w:cs="Times New Roman"/>
          <w:i/>
        </w:rPr>
      </w:pPr>
      <w:r>
        <w:rPr>
          <w:rFonts w:ascii="Times New Roman" w:hAnsi="Times New Roman" w:cs="Times New Roman"/>
          <w:i/>
        </w:rPr>
        <w:t>b) adres i kategorię obiektu budowlanego,</w:t>
      </w:r>
    </w:p>
    <w:p w:rsidR="00330FD8" w:rsidRDefault="00330FD8" w:rsidP="00330FD8">
      <w:pPr>
        <w:pStyle w:val="Akapitzlist"/>
        <w:widowControl/>
        <w:suppressAutoHyphens w:val="0"/>
        <w:autoSpaceDE w:val="0"/>
        <w:ind w:left="1440"/>
        <w:jc w:val="both"/>
        <w:textAlignment w:val="auto"/>
        <w:rPr>
          <w:rFonts w:ascii="Times New Roman" w:hAnsi="Times New Roman" w:cs="Times New Roman"/>
          <w:i/>
        </w:rPr>
      </w:pPr>
      <w:r>
        <w:rPr>
          <w:rFonts w:ascii="Times New Roman" w:hAnsi="Times New Roman" w:cs="Times New Roman"/>
          <w:i/>
        </w:rPr>
        <w:t>c) identyfikatory działek ewidencyjnych, na których obiekt budowlany jest usytuowany,</w:t>
      </w:r>
    </w:p>
    <w:p w:rsidR="00330FD8" w:rsidRPr="00030AE5" w:rsidRDefault="00330FD8" w:rsidP="00330FD8">
      <w:pPr>
        <w:pStyle w:val="Akapitzlist"/>
        <w:widowControl/>
        <w:suppressAutoHyphens w:val="0"/>
        <w:autoSpaceDE w:val="0"/>
        <w:ind w:left="1440"/>
        <w:jc w:val="both"/>
        <w:textAlignment w:val="auto"/>
        <w:rPr>
          <w:rFonts w:ascii="Times New Roman" w:hAnsi="Times New Roman" w:cs="Times New Roman"/>
          <w:i/>
        </w:rPr>
      </w:pPr>
      <w:r w:rsidRPr="00030AE5">
        <w:rPr>
          <w:rFonts w:ascii="Times New Roman" w:hAnsi="Times New Roman" w:cs="Times New Roman"/>
          <w:i/>
        </w:rPr>
        <w:t>d) imię i nazwisko lub nazwę inwestora oraz jego adres;</w:t>
      </w:r>
    </w:p>
    <w:p w:rsidR="00330FD8" w:rsidRDefault="00330FD8" w:rsidP="00330FD8">
      <w:pPr>
        <w:pStyle w:val="Akapitzlist"/>
        <w:widowControl/>
        <w:suppressAutoHyphens w:val="0"/>
        <w:autoSpaceDE w:val="0"/>
        <w:ind w:left="1440"/>
        <w:jc w:val="both"/>
        <w:textAlignment w:val="auto"/>
      </w:pPr>
      <w:r w:rsidRPr="00030AE5">
        <w:rPr>
          <w:rFonts w:ascii="Times New Roman" w:hAnsi="Times New Roman" w:cs="Times New Roman"/>
          <w:i/>
        </w:rPr>
        <w:lastRenderedPageBreak/>
        <w:t>3) 17  datę opracowania oraz imię, nazwisko, specjalność, numer uprawnień budowlanych osoby posiadającej uprawnienia budowlane do projektowania w odpowiedniej specjalności, która opracowała daną część projektu budowlanego, wraz z określeniem zakresu sporządzonego przez nią opracowania - w przypadku strony tytułowej projektu zagospodarowania działki lub terenu, projektu architektoniczno-budowlanego oraz projektu technicznego;</w:t>
      </w:r>
      <w:r>
        <w:rPr>
          <w:rFonts w:ascii="Times New Roman" w:hAnsi="Times New Roman" w:cs="Times New Roman"/>
          <w:i/>
        </w:rPr>
        <w:t>.</w:t>
      </w:r>
      <w:r>
        <w:rPr>
          <w:rFonts w:ascii="Times New Roman" w:hAnsi="Times New Roman" w:cs="Times New Roman"/>
        </w:rPr>
        <w:t xml:space="preserve">”- </w:t>
      </w:r>
      <w:r>
        <w:t>zgodnie z przywołanym przepisem, każdy element składa się ze strony tytułowej, na której powinny znajdować się poprawnie wskazane wyżej wymienione dane - organ zwraca uwagę by uzupełnić stronę tytułową wszystkich elementów o identyfikator każdej działki ew. objętej wnioskiem;</w:t>
      </w:r>
    </w:p>
    <w:p w:rsidR="00330FD8" w:rsidRPr="007D298D" w:rsidRDefault="00F011DC" w:rsidP="00330FD8">
      <w:pPr>
        <w:pStyle w:val="Akapitzlist"/>
        <w:widowControl/>
        <w:suppressAutoHyphens w:val="0"/>
        <w:autoSpaceDE w:val="0"/>
        <w:ind w:left="1418" w:hanging="284"/>
        <w:jc w:val="both"/>
        <w:textAlignment w:val="auto"/>
        <w:rPr>
          <w:rFonts w:ascii="Times New Roman" w:hAnsi="Times New Roman" w:cs="Times New Roman"/>
          <w:i/>
        </w:rPr>
      </w:pPr>
      <w:r>
        <w:rPr>
          <w:rFonts w:ascii="Times New Roman" w:hAnsi="Times New Roman" w:cs="Times New Roman"/>
        </w:rPr>
        <w:t>4</w:t>
      </w:r>
      <w:r w:rsidR="00330FD8">
        <w:rPr>
          <w:rFonts w:ascii="Times New Roman" w:hAnsi="Times New Roman" w:cs="Times New Roman"/>
        </w:rPr>
        <w:t>) § 7 ust. 5, brzmiący, ze: „</w:t>
      </w:r>
      <w:r w:rsidR="00330FD8" w:rsidRPr="007D298D">
        <w:rPr>
          <w:rFonts w:ascii="Times New Roman" w:hAnsi="Times New Roman" w:cs="Times New Roman"/>
          <w:i/>
        </w:rPr>
        <w:t>Spis treści zawiera wyliczenie:</w:t>
      </w:r>
    </w:p>
    <w:p w:rsidR="00330FD8" w:rsidRPr="007D298D" w:rsidRDefault="00330FD8" w:rsidP="00330FD8">
      <w:pPr>
        <w:pStyle w:val="Akapitzlist"/>
        <w:widowControl/>
        <w:suppressAutoHyphens w:val="0"/>
        <w:autoSpaceDE w:val="0"/>
        <w:ind w:left="1418"/>
        <w:jc w:val="both"/>
        <w:textAlignment w:val="auto"/>
        <w:rPr>
          <w:rFonts w:ascii="Times New Roman" w:hAnsi="Times New Roman" w:cs="Times New Roman"/>
          <w:i/>
        </w:rPr>
      </w:pPr>
      <w:r w:rsidRPr="007D298D">
        <w:rPr>
          <w:rFonts w:ascii="Times New Roman" w:hAnsi="Times New Roman" w:cs="Times New Roman"/>
          <w:i/>
        </w:rPr>
        <w:t>1) zawartości części opisowej projektu,</w:t>
      </w:r>
    </w:p>
    <w:p w:rsidR="00330FD8" w:rsidRPr="007D298D" w:rsidRDefault="00330FD8" w:rsidP="00330FD8">
      <w:pPr>
        <w:pStyle w:val="Akapitzlist"/>
        <w:widowControl/>
        <w:suppressAutoHyphens w:val="0"/>
        <w:autoSpaceDE w:val="0"/>
        <w:ind w:left="1418"/>
        <w:jc w:val="both"/>
        <w:textAlignment w:val="auto"/>
        <w:rPr>
          <w:rFonts w:ascii="Times New Roman" w:hAnsi="Times New Roman" w:cs="Times New Roman"/>
          <w:i/>
        </w:rPr>
      </w:pPr>
      <w:r w:rsidRPr="007D298D">
        <w:rPr>
          <w:rFonts w:ascii="Times New Roman" w:hAnsi="Times New Roman" w:cs="Times New Roman"/>
          <w:i/>
        </w:rPr>
        <w:t>2) zawartości części rysunkowej projektu,</w:t>
      </w:r>
    </w:p>
    <w:p w:rsidR="00330FD8" w:rsidRPr="007D298D" w:rsidRDefault="00330FD8" w:rsidP="00330FD8">
      <w:pPr>
        <w:pStyle w:val="Akapitzlist"/>
        <w:widowControl/>
        <w:suppressAutoHyphens w:val="0"/>
        <w:autoSpaceDE w:val="0"/>
        <w:ind w:left="1418"/>
        <w:jc w:val="both"/>
        <w:textAlignment w:val="auto"/>
        <w:rPr>
          <w:rFonts w:ascii="Times New Roman" w:hAnsi="Times New Roman" w:cs="Times New Roman"/>
          <w:i/>
        </w:rPr>
      </w:pPr>
      <w:r w:rsidRPr="007D298D">
        <w:rPr>
          <w:rFonts w:ascii="Times New Roman" w:hAnsi="Times New Roman" w:cs="Times New Roman"/>
          <w:i/>
        </w:rPr>
        <w:t>3) dokumentów dołączonych do projektu</w:t>
      </w:r>
    </w:p>
    <w:p w:rsidR="00330FD8" w:rsidRDefault="00330FD8" w:rsidP="00330FD8">
      <w:pPr>
        <w:pStyle w:val="Akapitzlist"/>
        <w:widowControl/>
        <w:suppressAutoHyphens w:val="0"/>
        <w:autoSpaceDE w:val="0"/>
        <w:ind w:left="1418"/>
        <w:jc w:val="both"/>
        <w:textAlignment w:val="auto"/>
        <w:rPr>
          <w:rFonts w:ascii="Times New Roman" w:hAnsi="Times New Roman" w:cs="Times New Roman"/>
        </w:rPr>
      </w:pPr>
      <w:r w:rsidRPr="007D298D">
        <w:rPr>
          <w:rFonts w:ascii="Times New Roman" w:hAnsi="Times New Roman" w:cs="Times New Roman"/>
          <w:i/>
        </w:rPr>
        <w:t>- wraz z numerami odpowiadających im stron.</w:t>
      </w:r>
      <w:r>
        <w:rPr>
          <w:rFonts w:ascii="Times New Roman" w:hAnsi="Times New Roman" w:cs="Times New Roman"/>
          <w:i/>
        </w:rPr>
        <w:t xml:space="preserve">”- </w:t>
      </w:r>
      <w:r>
        <w:rPr>
          <w:rFonts w:ascii="Times New Roman" w:hAnsi="Times New Roman" w:cs="Times New Roman"/>
        </w:rPr>
        <w:t>każdy ze spisów treści należy uzupełnić o wyszczególnienie zawartości części opisowej i rysunkowej, wraz ze wskazaniem numerów stron, odpowiadającym zawartości;</w:t>
      </w:r>
    </w:p>
    <w:p w:rsidR="00330FD8" w:rsidRPr="002B15B5" w:rsidRDefault="00330FD8" w:rsidP="00330FD8">
      <w:pPr>
        <w:suppressAutoHyphens w:val="0"/>
        <w:autoSpaceDE w:val="0"/>
        <w:jc w:val="both"/>
        <w:textAlignment w:val="auto"/>
        <w:rPr>
          <w:i/>
        </w:rPr>
      </w:pPr>
      <w:r>
        <w:t xml:space="preserve">                    </w:t>
      </w:r>
      <w:r w:rsidR="00F011DC">
        <w:t>5</w:t>
      </w:r>
      <w:r>
        <w:t>)  § 20 ust. 1 pkt 9, który brzmi : „</w:t>
      </w:r>
      <w:r w:rsidRPr="002B15B5">
        <w:rPr>
          <w:i/>
        </w:rPr>
        <w:t>Część opisowa projektu architektoniczno-bu</w:t>
      </w:r>
    </w:p>
    <w:p w:rsidR="00330FD8" w:rsidRPr="002B15B5" w:rsidRDefault="00330FD8" w:rsidP="00330FD8">
      <w:pPr>
        <w:suppressAutoHyphens w:val="0"/>
        <w:autoSpaceDE w:val="0"/>
        <w:ind w:left="1560"/>
        <w:jc w:val="both"/>
        <w:textAlignment w:val="auto"/>
        <w:rPr>
          <w:i/>
        </w:rPr>
      </w:pPr>
      <w:r w:rsidRPr="002B15B5">
        <w:rPr>
          <w:i/>
        </w:rPr>
        <w:t>dowlanego zawiera: parametry techniczne obiektu budowlanego charakteryzujące wpływ obiektu budowlanego na środowisko i jego wykorzystywanie oraz na zdrowie ludzi i obiekty sąsiednie pod względem:</w:t>
      </w:r>
    </w:p>
    <w:p w:rsidR="00330FD8" w:rsidRPr="002B15B5" w:rsidRDefault="00330FD8" w:rsidP="00330FD8">
      <w:pPr>
        <w:suppressAutoHyphens w:val="0"/>
        <w:autoSpaceDE w:val="0"/>
        <w:ind w:left="1560"/>
        <w:jc w:val="both"/>
        <w:textAlignment w:val="auto"/>
        <w:rPr>
          <w:i/>
        </w:rPr>
      </w:pPr>
      <w:r w:rsidRPr="002B15B5">
        <w:rPr>
          <w:i/>
        </w:rPr>
        <w:t>a) zapotrzebowania i jakości wody oraz ilości, jakości i sposobu odprowadzania ścieków oraz wód opadowych,</w:t>
      </w:r>
    </w:p>
    <w:p w:rsidR="00330FD8" w:rsidRPr="002B15B5" w:rsidRDefault="00330FD8" w:rsidP="00330FD8">
      <w:pPr>
        <w:suppressAutoHyphens w:val="0"/>
        <w:autoSpaceDE w:val="0"/>
        <w:ind w:left="1560"/>
        <w:jc w:val="both"/>
        <w:textAlignment w:val="auto"/>
        <w:rPr>
          <w:i/>
        </w:rPr>
      </w:pPr>
      <w:r w:rsidRPr="002B15B5">
        <w:rPr>
          <w:i/>
        </w:rPr>
        <w:t>b) emisji zanieczyszczeń gazowych, w tym zapachów, pyłowych i płynnych, z podaniem ich rodzaju, ilości i zasięgu rozprzestrzeniania się,</w:t>
      </w:r>
    </w:p>
    <w:p w:rsidR="00330FD8" w:rsidRPr="002B15B5" w:rsidRDefault="00330FD8" w:rsidP="00330FD8">
      <w:pPr>
        <w:suppressAutoHyphens w:val="0"/>
        <w:autoSpaceDE w:val="0"/>
        <w:ind w:left="1560"/>
        <w:jc w:val="both"/>
        <w:textAlignment w:val="auto"/>
        <w:rPr>
          <w:i/>
        </w:rPr>
      </w:pPr>
      <w:r w:rsidRPr="002B15B5">
        <w:rPr>
          <w:i/>
        </w:rPr>
        <w:t>c) rodzaju i ilości wytwarzanych odpadów,</w:t>
      </w:r>
    </w:p>
    <w:p w:rsidR="00330FD8" w:rsidRPr="002B15B5" w:rsidRDefault="00330FD8" w:rsidP="00330FD8">
      <w:pPr>
        <w:suppressAutoHyphens w:val="0"/>
        <w:autoSpaceDE w:val="0"/>
        <w:ind w:left="1560"/>
        <w:jc w:val="both"/>
        <w:textAlignment w:val="auto"/>
        <w:rPr>
          <w:i/>
        </w:rPr>
      </w:pPr>
      <w:r w:rsidRPr="002B15B5">
        <w:rPr>
          <w:i/>
        </w:rPr>
        <w:t>d) właściwości akustycznych oraz emisji drgań, a także promieniowania, w szczególności jonizującego, pola elektromagnetycznego i innych zakłóceń, z podaniem odpowiednich parametrów tych czynników i zasięgu ich rozprzestrzeniania się,</w:t>
      </w:r>
    </w:p>
    <w:p w:rsidR="00330FD8" w:rsidRPr="002B15B5" w:rsidRDefault="00330FD8" w:rsidP="00330FD8">
      <w:pPr>
        <w:suppressAutoHyphens w:val="0"/>
        <w:autoSpaceDE w:val="0"/>
        <w:ind w:left="1560"/>
        <w:jc w:val="both"/>
        <w:textAlignment w:val="auto"/>
        <w:rPr>
          <w:i/>
        </w:rPr>
      </w:pPr>
      <w:r w:rsidRPr="002B15B5">
        <w:rPr>
          <w:i/>
        </w:rPr>
        <w:t>e) wpływu obiektu budowlanego na istniejący drzewostan, powierzchnię ziemi, w tym glebę, wody powierzchniowe i podziemne</w:t>
      </w:r>
    </w:p>
    <w:p w:rsidR="00330FD8" w:rsidRPr="002B15B5" w:rsidRDefault="00330FD8" w:rsidP="00330FD8">
      <w:pPr>
        <w:suppressAutoHyphens w:val="0"/>
        <w:autoSpaceDE w:val="0"/>
        <w:ind w:left="1560"/>
        <w:jc w:val="both"/>
        <w:textAlignment w:val="auto"/>
        <w:rPr>
          <w:i/>
        </w:rPr>
      </w:pPr>
      <w:r w:rsidRPr="002B15B5">
        <w:rPr>
          <w:i/>
        </w:rPr>
        <w:t>- uwzględniając, że przyjęte w projekcie budowlanym rozwiązania przestrzenne, funkcjonalne i techniczne powinny wykazywać ograniczenie lub eliminację wpływu obiektu budowlanego na środowisko przyrodnicze, zdrowie ludzi i inne obiekty budowlane, zgodnie z odrębnymi przepisami;</w:t>
      </w:r>
      <w:r>
        <w:rPr>
          <w:i/>
        </w:rPr>
        <w:t xml:space="preserve">”- </w:t>
      </w:r>
      <w:r>
        <w:t>należy uzupełnić projekt o informacje na temat istniejącego drzewostanu, wskazując dokładnie drzewa podlegające wycince, co jest ściśle związane z realizacją inwestycji, dlatego musi być objęte opracowaniem. Ponadto należy opis uzupełnić o szczegółową analizę warunków wskazanych w decyzji Wójta Gminy Lesznowola nr 90/2021 z dnia 18 sierpnia 2021 r. o środowiskowych uwarunkowaniach, uwzględniając zarówno sam etap poprzedzający realizację budowy, samą budowę, jak również etap eksploatacji;</w:t>
      </w:r>
    </w:p>
    <w:p w:rsidR="00330FD8" w:rsidRPr="00941684" w:rsidRDefault="00F011DC" w:rsidP="00330FD8">
      <w:pPr>
        <w:pStyle w:val="Akapitzlist"/>
        <w:widowControl/>
        <w:suppressAutoHyphens w:val="0"/>
        <w:autoSpaceDE w:val="0"/>
        <w:ind w:left="993" w:hanging="284"/>
        <w:jc w:val="both"/>
        <w:textAlignment w:val="auto"/>
        <w:rPr>
          <w:rFonts w:ascii="Times New Roman" w:hAnsi="Times New Roman" w:cs="Times New Roman"/>
        </w:rPr>
      </w:pPr>
      <w:r>
        <w:rPr>
          <w:rFonts w:ascii="Times New Roman" w:hAnsi="Times New Roman" w:cs="Times New Roman"/>
        </w:rPr>
        <w:t>4</w:t>
      </w:r>
      <w:r w:rsidR="00330FD8">
        <w:rPr>
          <w:rFonts w:ascii="Times New Roman" w:hAnsi="Times New Roman" w:cs="Times New Roman"/>
        </w:rPr>
        <w:t>.  w projekcie zagospodarowania terenu należy:</w:t>
      </w:r>
    </w:p>
    <w:p w:rsidR="00330FD8" w:rsidRDefault="00330FD8" w:rsidP="00906F51">
      <w:pPr>
        <w:pStyle w:val="Akapitzlist"/>
        <w:widowControl/>
        <w:numPr>
          <w:ilvl w:val="0"/>
          <w:numId w:val="30"/>
        </w:numPr>
        <w:pBdr>
          <w:top w:val="none" w:sz="0" w:space="0" w:color="auto"/>
          <w:left w:val="none" w:sz="0" w:space="0" w:color="auto"/>
          <w:bottom w:val="none" w:sz="0" w:space="0" w:color="auto"/>
          <w:right w:val="none" w:sz="0" w:space="0" w:color="auto"/>
        </w:pBdr>
        <w:suppressAutoHyphens w:val="0"/>
        <w:autoSpaceDE w:val="0"/>
        <w:autoSpaceDN w:val="0"/>
        <w:jc w:val="both"/>
        <w:textAlignment w:val="auto"/>
      </w:pPr>
      <w:r>
        <w:t xml:space="preserve">wykazać spełnienie </w:t>
      </w:r>
      <w:r>
        <w:rPr>
          <w:rFonts w:ascii="Times New Roman" w:hAnsi="Times New Roman" w:cs="Times New Roman"/>
        </w:rPr>
        <w:t>§</w:t>
      </w:r>
      <w:r>
        <w:t xml:space="preserve"> 19 ust. 2 warunków technicznych dot. odległości miejsc postojowych względem granicy nieruchomości inwestycyjnej, o czym mowa w pkt 2 postanowienia;</w:t>
      </w:r>
    </w:p>
    <w:p w:rsidR="00330FD8" w:rsidRDefault="00330FD8" w:rsidP="00906F51">
      <w:pPr>
        <w:pStyle w:val="Akapitzlist"/>
        <w:widowControl/>
        <w:numPr>
          <w:ilvl w:val="0"/>
          <w:numId w:val="30"/>
        </w:numPr>
        <w:pBdr>
          <w:top w:val="none" w:sz="0" w:space="0" w:color="auto"/>
          <w:left w:val="none" w:sz="0" w:space="0" w:color="auto"/>
          <w:bottom w:val="none" w:sz="0" w:space="0" w:color="auto"/>
          <w:right w:val="none" w:sz="0" w:space="0" w:color="auto"/>
        </w:pBdr>
        <w:suppressAutoHyphens w:val="0"/>
        <w:autoSpaceDE w:val="0"/>
        <w:autoSpaceDN w:val="0"/>
        <w:jc w:val="both"/>
        <w:textAlignment w:val="auto"/>
      </w:pPr>
      <w:r>
        <w:lastRenderedPageBreak/>
        <w:t>w legendzie należy uwzględnić wszystkie projektowane elementy (zbiornik retencyjny rurowy, zbiorniki na nieczystości płynne);</w:t>
      </w:r>
    </w:p>
    <w:p w:rsidR="00330FD8" w:rsidRDefault="00330FD8" w:rsidP="00906F51">
      <w:pPr>
        <w:pStyle w:val="Akapitzlist"/>
        <w:widowControl/>
        <w:numPr>
          <w:ilvl w:val="0"/>
          <w:numId w:val="30"/>
        </w:numPr>
        <w:pBdr>
          <w:top w:val="none" w:sz="0" w:space="0" w:color="auto"/>
          <w:left w:val="none" w:sz="0" w:space="0" w:color="auto"/>
          <w:bottom w:val="none" w:sz="0" w:space="0" w:color="auto"/>
          <w:right w:val="none" w:sz="0" w:space="0" w:color="auto"/>
        </w:pBdr>
        <w:suppressAutoHyphens w:val="0"/>
        <w:autoSpaceDE w:val="0"/>
        <w:autoSpaceDN w:val="0"/>
        <w:jc w:val="both"/>
        <w:textAlignment w:val="auto"/>
      </w:pPr>
      <w:r>
        <w:t>wskazać rzędną terenu w miejscu zasypanego stawu, wykazując spełnienie warunku wynikającego z decyzji Państwowego Gospodarstwa Wodnego Wody Polskie Dyrektora Zarządu Zlewni w Warszawie z dnia 29 listopada 2021 r. udzielającej pozwolenia na likwidację stawu ziemnego o powierzchni 2325,0 m</w:t>
      </w:r>
      <w:r>
        <w:rPr>
          <w:vertAlign w:val="superscript"/>
        </w:rPr>
        <w:t>2</w:t>
      </w:r>
      <w:r>
        <w:t>, zgodnie z którym rzędna w tym miejscu miałaby wynosić od 121,80 m n.p.m. do 122,0 m n.p.m.;</w:t>
      </w:r>
    </w:p>
    <w:p w:rsidR="00330FD8" w:rsidRDefault="00330FD8" w:rsidP="00906F51">
      <w:pPr>
        <w:pStyle w:val="Akapitzlist"/>
        <w:widowControl/>
        <w:numPr>
          <w:ilvl w:val="0"/>
          <w:numId w:val="30"/>
        </w:numPr>
        <w:pBdr>
          <w:top w:val="none" w:sz="0" w:space="0" w:color="auto"/>
          <w:left w:val="none" w:sz="0" w:space="0" w:color="auto"/>
          <w:bottom w:val="none" w:sz="0" w:space="0" w:color="auto"/>
          <w:right w:val="none" w:sz="0" w:space="0" w:color="auto"/>
        </w:pBdr>
        <w:suppressAutoHyphens w:val="0"/>
        <w:autoSpaceDE w:val="0"/>
        <w:autoSpaceDN w:val="0"/>
        <w:jc w:val="both"/>
        <w:textAlignment w:val="auto"/>
      </w:pPr>
      <w:r>
        <w:t>w związku ze wskazaną rzędną poziomu posadzki parteru projektowanego budynku, wyniesioną powyżej 1,0 m ponad poziom istniejącego, a miejscami nawet o 2,0 m, lub w myśl art. 235 ust. 1 ustawy z dnia 20 lipca 2017 r. Prawo wodne (t.j. Dz. U. z 2021 r. poz. 2233), który brzmi:  „</w:t>
      </w:r>
      <w:r w:rsidRPr="002E67AB">
        <w:rPr>
          <w:i/>
        </w:rPr>
        <w:t>Właściciele gruntów mogą, w drodze pisemnej ugody, ustalić zmiany stanu wody na gruntach, jeżeli zmiany te nie wpłyną szkodliwie na inne nieruchomości lub na gospodarkę wodną. Ugoda nie może dotyczyć wprowadzania ścieków do wód lub do ziemi. 2. Ugodę wykonuje się po jej zatwierdzeniu, w drodze decyzji, przez wójta, burmistrza lub prezydenta miasta.</w:t>
      </w:r>
      <w:r>
        <w:rPr>
          <w:i/>
        </w:rPr>
        <w:t>(…)</w:t>
      </w:r>
      <w:r w:rsidRPr="002E67AB">
        <w:rPr>
          <w:i/>
          <w:lang w:eastAsia="pl-PL"/>
        </w:rPr>
        <w:t>.</w:t>
      </w:r>
      <w:r>
        <w:t xml:space="preserve">”- należy przedłożyć decyzję Wójta Gminy Lesznowola zezwalającej na zmianę stanu wód na gruntach, na co wpływ ma zmiana ukształtowania terenu spowodowana planowaną inwestycją; </w:t>
      </w:r>
    </w:p>
    <w:p w:rsidR="00330FD8" w:rsidRDefault="00330FD8" w:rsidP="00906F51">
      <w:pPr>
        <w:pStyle w:val="Akapitzlist"/>
        <w:widowControl/>
        <w:numPr>
          <w:ilvl w:val="0"/>
          <w:numId w:val="30"/>
        </w:numPr>
        <w:pBdr>
          <w:top w:val="none" w:sz="0" w:space="0" w:color="auto"/>
          <w:left w:val="none" w:sz="0" w:space="0" w:color="auto"/>
          <w:bottom w:val="none" w:sz="0" w:space="0" w:color="auto"/>
          <w:right w:val="none" w:sz="0" w:space="0" w:color="auto"/>
        </w:pBdr>
        <w:suppressAutoHyphens w:val="0"/>
        <w:autoSpaceDE w:val="0"/>
        <w:autoSpaceDN w:val="0"/>
        <w:jc w:val="both"/>
        <w:textAlignment w:val="auto"/>
      </w:pPr>
      <w:r>
        <w:t>uzupełnić rysunek o kierunek spływu wód opadowych i roztopowych na projektowanych utwardzeniach, oraz ewentualnych zmianach w ukształtowaniu terenu, przedstawiając również rzędną projektowanej kanalizacji deszczowej.  Jednocześnie należy uzupełnić projekt o przekrój przez teren, obrazując wszystkie zmiany w ukształtowaniu terenu i spływ wód opadowych i roztopowych do kanalizacji deszczowej, tym samym wykazując zatrzymanie wód w obszarze inwestycji, zabezpieczając tereny sąsiednie przed zalewaniem;</w:t>
      </w:r>
    </w:p>
    <w:p w:rsidR="00330FD8" w:rsidRDefault="00330FD8" w:rsidP="00330FD8">
      <w:pPr>
        <w:suppressAutoHyphens w:val="0"/>
        <w:autoSpaceDE w:val="0"/>
        <w:ind w:left="851" w:hanging="425"/>
        <w:jc w:val="both"/>
        <w:textAlignment w:val="auto"/>
      </w:pPr>
      <w:r>
        <w:t xml:space="preserve">5.   Zgodnie z § 1 ust. 2 pkt 1 rozporządzenia Rady Ministrów z dnia 10 września 2019 r. w sprawie przedsięwzięć mogących znacząco oddziaływać na środowisko ( t.j. Dz. U. z 2019 r. poz. 1839 ze zm.), który stanowi: </w:t>
      </w:r>
      <w:r>
        <w:rPr>
          <w:i/>
        </w:rPr>
        <w:t xml:space="preserve">Użyte w rozporządzeniu określenia oznaczają: powierzchnia zabudowy – powierzchnię terenu zajętą przez obiekty budowlane oraz pozostałą powierzchnię przeznaczoną do przekształcenia, w tym tymczasowego, w celu realizacji przedsięwzięcia;" - </w:t>
      </w:r>
      <w:r>
        <w:t>należy w projekcie zagospodarowania terenu dokładnie oznaczyć obszar, który podlega przekształceniu, czyli nie pozwalający na pełnienie dotychczasowej funkcji na danym terenie, jednocześnie w części opisowej projektu dokładnie tę powierzchnię wskazując- w tym organ informuje, że przekształceniu ulegają również m.in. obszary nad projektowanym uzbrojeniem terenu;</w:t>
      </w:r>
    </w:p>
    <w:p w:rsidR="00330FD8" w:rsidRDefault="00330FD8" w:rsidP="00330FD8">
      <w:pPr>
        <w:suppressAutoHyphens w:val="0"/>
        <w:autoSpaceDE w:val="0"/>
        <w:ind w:left="851" w:hanging="425"/>
        <w:jc w:val="both"/>
        <w:textAlignment w:val="auto"/>
      </w:pPr>
      <w:r>
        <w:t>6.    Informację do Planu Bioz należy uzupełnić o uwzględnienie zagrożeń wynikających z prowadzonych robót budowlanych w obrębie pasa technologicznego sieci wysokiego napięcia 110kv, mając na uwadze uzgodnienie Polskich Sieci Elektroenergetycznych z dnia 22 lipca 2021 r. ;</w:t>
      </w:r>
    </w:p>
    <w:p w:rsidR="00330FD8" w:rsidRDefault="00330FD8" w:rsidP="00330FD8">
      <w:pPr>
        <w:suppressAutoHyphens w:val="0"/>
        <w:autoSpaceDE w:val="0"/>
        <w:ind w:left="851" w:hanging="425"/>
        <w:jc w:val="both"/>
        <w:textAlignment w:val="auto"/>
      </w:pPr>
      <w:r>
        <w:t>7.    Zgodnie z art.34 ust. 3b ustawy Prawo budowlane, który brzmi : „</w:t>
      </w:r>
      <w:r w:rsidRPr="00FC24BD">
        <w:rPr>
          <w:i/>
        </w:rPr>
        <w:t>Przepisów ust. 3 pkt 2 i 3 nie stosuje się do projektu budowlanego budowy lub przebudowy urządzeń budowlanych oraz podziemnych sieci uzbrojenia terenu, jeżeli całość problematyki może być przedstawiona w projekcie zagospodarowania działki lub terenu</w:t>
      </w:r>
      <w:r w:rsidRPr="00FC24BD">
        <w:t>.</w:t>
      </w:r>
      <w:r>
        <w:t xml:space="preserve">” – w </w:t>
      </w:r>
      <w:r>
        <w:lastRenderedPageBreak/>
        <w:t>związku z projektowaniem wewnętrznej instalacji kanalizacji sanitarnej, kanalizacji deszczowej, wodociągowej, wody pożarowej, rurowy zbiornik retencyjny – należy uzupełnić projekt zagospodarowania terenu o charakterystyczne ich  parametry (rzędne ich posadowienia, średnice), lub uzupełnić projekt architektoniczno-budowlany o niezbędne rysunki i informacje dotyczące parametrów tych instalacji i rurowego zbiornika;</w:t>
      </w:r>
    </w:p>
    <w:p w:rsidR="00330FD8" w:rsidRDefault="00330FD8" w:rsidP="00330FD8">
      <w:pPr>
        <w:suppressAutoHyphens w:val="0"/>
        <w:autoSpaceDE w:val="0"/>
        <w:ind w:left="851" w:hanging="425"/>
        <w:jc w:val="both"/>
        <w:textAlignment w:val="auto"/>
      </w:pPr>
      <w:r>
        <w:t xml:space="preserve">8.   Dokumentację należy uzupełnić o projekt zbiornika retencyjnego, zlokalizowanego w miejscu zlikwidowanego stawu, sporządzony przez projektanta posiadającego odpowiednie uprawnienia, mając na uwadze warunki bezpieczeństwa, o których mowa w rozporządzeniu w sprawie warunków technicznych jakim powinny odpowiadać budynki i ich usytuowanie; </w:t>
      </w:r>
    </w:p>
    <w:p w:rsidR="00330FD8" w:rsidRPr="002B1562" w:rsidRDefault="00330FD8" w:rsidP="00330FD8">
      <w:pPr>
        <w:suppressAutoHyphens w:val="0"/>
        <w:autoSpaceDE w:val="0"/>
        <w:ind w:left="851" w:hanging="425"/>
        <w:jc w:val="both"/>
        <w:textAlignment w:val="auto"/>
      </w:pPr>
      <w:r>
        <w:t>9.  Zgodnie z art. 34 pkt 4 ustawy Prawo Wodne, brzmiącym : „</w:t>
      </w:r>
      <w:r w:rsidRPr="00F56975">
        <w:rPr>
          <w:i/>
        </w:rPr>
        <w:t>Szczególnym korzystaniem z wód jest korzystanie z wód wykraczające poza powszechne korzystanie z wód oraz zwykłe korzystanie z wód, obejmujące: Szczególnym korzystaniem z wód jest korzystanie z wód wykraczające poza powszechne korzystanie z wód oraz zwykłe korzystanie z wód, obejmujące: wykonywanie na nieruchomości o powierzchni powyżej 3500 m2 robót lub obiektów budowlanych trwale związanych z gruntem, mających wpływ na zmniejszenie naturalnej retencji terenowej przez wyłączenie więcej niż 70% powierzchni nieruchomości z powierzchni biologicznie czynnej na obszarach nieujętych w systemy kanalizacji otwartej lub zamkniętej;</w:t>
      </w:r>
      <w:r>
        <w:t>”  - w projekcie należy jasno wskazać, że przed przystąpieniem do robót budowlanych polegających na realizacji zamierzonej inwestycji, inwestor uzyska pozwolenie wodno-prawne, o którym mowa w przywołanym przepisie;</w:t>
      </w:r>
    </w:p>
    <w:p w:rsidR="00330FD8" w:rsidRDefault="00330FD8" w:rsidP="00330FD8">
      <w:pPr>
        <w:suppressAutoHyphens w:val="0"/>
        <w:autoSpaceDE w:val="0"/>
        <w:ind w:left="851" w:hanging="425"/>
        <w:jc w:val="both"/>
        <w:textAlignment w:val="auto"/>
      </w:pPr>
      <w:r>
        <w:t>10. Należy pamiętać o parafowaniu dokonanych zmian i skreśleń w projekcie budowlanym przez właściwego projektanta z podaniem daty ich wprowadzenia, tak by w przyszłości nie powstały wątpliwości kto i kiedy je wprowadził,</w:t>
      </w:r>
    </w:p>
    <w:p w:rsidR="00D133FA" w:rsidRDefault="00D133FA" w:rsidP="00D133FA">
      <w:pPr>
        <w:pStyle w:val="Standard"/>
        <w:ind w:firstLine="708"/>
        <w:jc w:val="both"/>
      </w:pPr>
      <w:r>
        <w:t xml:space="preserve"> </w:t>
      </w:r>
    </w:p>
    <w:p w:rsidR="00D133FA" w:rsidRPr="00D133FA" w:rsidRDefault="00AC5652" w:rsidP="00AC5652">
      <w:pPr>
        <w:jc w:val="both"/>
      </w:pPr>
      <w:r>
        <w:t xml:space="preserve">         W dniu 29 listopada 2022 r. pełnomocnik inwestora dokonał uzupełnienia do powyższego postanowienia, dlatego organ ponownie przeanalizował całą przedłożoną dokumentację projektową, weryfikując, czy inwestor wywiązał się z nałożonych postanowieniem obowiązków, tym samym wypełniając wszelkie obowiązujące przepisy prawne.</w:t>
      </w:r>
    </w:p>
    <w:p w:rsidR="00576BD2" w:rsidRDefault="00576BD2">
      <w:pPr>
        <w:ind w:firstLine="708"/>
        <w:jc w:val="both"/>
      </w:pPr>
      <w:r w:rsidRPr="0089326F">
        <w:t>W związku z dostarczeniem przez inwestora wszelkich niezbędnych dokumentów i spełnieniem wymogów ustawowych, w tym również nałożonych przez załączone do projektu decyzje, opinie, i uzgodnienia, zgodnie z art. 35 ust. 4 ustawy Prawo budowlane stanowiącym, iż w razie spełnienia wymagań określonych w ust. 1 oraz w art. 32 ust. 4, właściwy organ nie może odmówić wydania decyzji o pozwoleniu na budowę, orzeczono, jak w sentencji.</w:t>
      </w:r>
    </w:p>
    <w:p w:rsidR="00B33DD6" w:rsidRPr="0089326F" w:rsidRDefault="00B33DD6">
      <w:pPr>
        <w:ind w:firstLine="708"/>
        <w:jc w:val="both"/>
      </w:pPr>
    </w:p>
    <w:p w:rsidR="00576BD2" w:rsidRPr="0089326F" w:rsidRDefault="00576BD2">
      <w:pPr>
        <w:pStyle w:val="Nagwek3"/>
        <w:tabs>
          <w:tab w:val="left" w:pos="0"/>
        </w:tabs>
        <w:rPr>
          <w:rFonts w:ascii="Times New Roman" w:hAnsi="Times New Roman" w:cs="Times New Roman"/>
          <w:sz w:val="24"/>
          <w:szCs w:val="24"/>
        </w:rPr>
      </w:pPr>
      <w:r w:rsidRPr="0089326F">
        <w:rPr>
          <w:rFonts w:ascii="Times New Roman" w:hAnsi="Times New Roman" w:cs="Times New Roman"/>
          <w:i w:val="0"/>
          <w:sz w:val="24"/>
          <w:szCs w:val="24"/>
          <w:u w:val="none"/>
        </w:rPr>
        <w:t>POUCZENIE</w:t>
      </w:r>
    </w:p>
    <w:p w:rsidR="003A6500" w:rsidRDefault="00576BD2">
      <w:pPr>
        <w:ind w:firstLine="708"/>
        <w:jc w:val="both"/>
        <w:rPr>
          <w:b/>
        </w:rPr>
      </w:pPr>
      <w:r w:rsidRPr="0089326F">
        <w:rPr>
          <w:b/>
        </w:rPr>
        <w:t>Od decyzji przysługuje odwołanie do Wojewody Mazowieckiego,                                                 za pośrednictwem organu, który wydał niniejszą decyzję (Starosta Piaseczyński,                            ul. Chyliczkowska 14, 05-500 Piaseczno), w terminie 14 dni od dnia jej doręczenia.</w:t>
      </w:r>
    </w:p>
    <w:p w:rsidR="00B33DD6" w:rsidRPr="0089326F" w:rsidRDefault="00B33DD6">
      <w:pPr>
        <w:ind w:firstLine="708"/>
        <w:jc w:val="both"/>
      </w:pPr>
    </w:p>
    <w:p w:rsidR="003A6500" w:rsidRDefault="00576BD2">
      <w:pPr>
        <w:ind w:firstLine="708"/>
        <w:jc w:val="both"/>
        <w:rPr>
          <w:b/>
        </w:rPr>
      </w:pPr>
      <w:r w:rsidRPr="0089326F">
        <w:rPr>
          <w:b/>
        </w:rPr>
        <w:t>W trakcie biegu terminu do wniesienia odwołania strona może zrzec się prawa do wniesienia odwołania wobec organu administracji publicznej, który wydał decyzję.</w:t>
      </w:r>
    </w:p>
    <w:p w:rsidR="00B33DD6" w:rsidRPr="0089326F" w:rsidRDefault="00B33DD6">
      <w:pPr>
        <w:ind w:firstLine="708"/>
        <w:jc w:val="both"/>
      </w:pPr>
    </w:p>
    <w:p w:rsidR="00576BD2" w:rsidRDefault="00576BD2" w:rsidP="00E83783">
      <w:pPr>
        <w:ind w:firstLine="708"/>
        <w:jc w:val="both"/>
        <w:rPr>
          <w:b/>
        </w:rPr>
      </w:pPr>
      <w:r w:rsidRPr="0089326F">
        <w:rPr>
          <w:b/>
        </w:rPr>
        <w:lastRenderedPageBreak/>
        <w:t>Z dniem doręczenia organowi administracji publicznej oświadczenia o zrzeczeniu się prawa do wniesienia odwołania przez ostatnią ze stron postępowania, decyzja staje się ostateczna i prawomocna.</w:t>
      </w:r>
    </w:p>
    <w:p w:rsidR="00E83783" w:rsidRDefault="00E83783" w:rsidP="00E83783">
      <w:pPr>
        <w:ind w:firstLine="708"/>
        <w:jc w:val="both"/>
        <w:rPr>
          <w:b/>
        </w:rPr>
      </w:pPr>
    </w:p>
    <w:p w:rsidR="00576BD2" w:rsidRPr="0089326F" w:rsidRDefault="00576BD2">
      <w:pPr>
        <w:jc w:val="center"/>
      </w:pPr>
      <w:r w:rsidRPr="0089326F">
        <w:rPr>
          <w:b/>
        </w:rPr>
        <w:t>ADNOTACJA DOTYCZĄCA OPŁATY SKARBOWEJ</w:t>
      </w:r>
    </w:p>
    <w:p w:rsidR="00576BD2" w:rsidRDefault="00576BD2">
      <w:pPr>
        <w:jc w:val="both"/>
        <w:rPr>
          <w:rStyle w:val="Domylnaczcionkaakapitu2"/>
          <w:color w:val="000000"/>
        </w:rPr>
      </w:pPr>
      <w:r w:rsidRPr="0089326F">
        <w:t xml:space="preserve">Zgodnie  z § 4 ust. 1 i 2 rozporządzenia Ministra Finansów z dnia 28 września 2007 r. w sprawie zapłaty opłaty skarbowej (Dz. U. nr 187, poz.1330) potwierdzam, że </w:t>
      </w:r>
      <w:r w:rsidRPr="0089326F">
        <w:rPr>
          <w:rStyle w:val="Domylnaczcionkaakapitu2"/>
          <w:color w:val="000000"/>
        </w:rPr>
        <w:t>zgodnie z ustawą z dnia 16 listopada 2006 r. o opłacie skarbowej ( t.j. Dz. U. z 202</w:t>
      </w:r>
      <w:r w:rsidR="006448C5">
        <w:rPr>
          <w:rStyle w:val="Domylnaczcionkaakapitu2"/>
          <w:color w:val="000000"/>
        </w:rPr>
        <w:t>2r., poz. 2142</w:t>
      </w:r>
      <w:r w:rsidR="007A42C4">
        <w:rPr>
          <w:rStyle w:val="Domylnaczcionkaakapitu2"/>
          <w:color w:val="000000"/>
        </w:rPr>
        <w:t xml:space="preserve"> ze zm.</w:t>
      </w:r>
      <w:r w:rsidRPr="0089326F">
        <w:rPr>
          <w:rStyle w:val="Domylnaczcionkaakapitu2"/>
          <w:color w:val="000000"/>
        </w:rPr>
        <w:t xml:space="preserve">), że </w:t>
      </w:r>
      <w:r w:rsidR="00B33DD6">
        <w:rPr>
          <w:rStyle w:val="Domylnaczcionkaakapitu2"/>
          <w:color w:val="000000"/>
        </w:rPr>
        <w:t xml:space="preserve">podmiot wniósł opłatę skarbową za wydanie pozwolenia w wysokości </w:t>
      </w:r>
      <w:r w:rsidR="000C7D2E" w:rsidRPr="000C7D2E">
        <w:rPr>
          <w:rStyle w:val="Domylnaczcionkaakapitu2"/>
        </w:rPr>
        <w:t>1154</w:t>
      </w:r>
      <w:r w:rsidR="00B33DD6" w:rsidRPr="000C7D2E">
        <w:rPr>
          <w:rStyle w:val="Domylnaczcionkaakapitu2"/>
        </w:rPr>
        <w:t>,00 zł</w:t>
      </w:r>
    </w:p>
    <w:p w:rsidR="00B33DD6" w:rsidRDefault="00B33DD6">
      <w:pPr>
        <w:jc w:val="both"/>
        <w:rPr>
          <w:rStyle w:val="Domylnaczcionkaakapitu2"/>
          <w:color w:val="000000"/>
        </w:rPr>
      </w:pPr>
    </w:p>
    <w:p w:rsidR="00B33DD6" w:rsidRPr="0089326F" w:rsidRDefault="00B33DD6">
      <w:pPr>
        <w:jc w:val="both"/>
      </w:pPr>
    </w:p>
    <w:tbl>
      <w:tblPr>
        <w:tblW w:w="8298" w:type="dxa"/>
        <w:tblLook w:val="04A0" w:firstRow="1" w:lastRow="0" w:firstColumn="1" w:lastColumn="0" w:noHBand="0" w:noVBand="1"/>
      </w:tblPr>
      <w:tblGrid>
        <w:gridCol w:w="4149"/>
        <w:gridCol w:w="4149"/>
      </w:tblGrid>
      <w:tr w:rsidR="00B33DD6" w:rsidRPr="00906F51" w:rsidTr="00906F51">
        <w:trPr>
          <w:trHeight w:val="2490"/>
        </w:trPr>
        <w:tc>
          <w:tcPr>
            <w:tcW w:w="4149" w:type="dxa"/>
            <w:shd w:val="clear" w:color="auto" w:fill="auto"/>
          </w:tcPr>
          <w:p w:rsidR="00B33DD6" w:rsidRPr="00906F51" w:rsidRDefault="00871ED3" w:rsidP="00906F51">
            <w:pPr>
              <w:jc w:val="center"/>
              <w:rPr>
                <w:rFonts w:ascii="Calibri" w:eastAsia="Calibri" w:hAnsi="Calibri"/>
                <w:caps/>
                <w:sz w:val="22"/>
                <w:szCs w:val="22"/>
              </w:rPr>
            </w:pPr>
            <w:r>
              <w:rPr>
                <w:rFonts w:ascii="Calibri" w:eastAsia="Calibri" w:hAnsi="Calibri"/>
                <w:noProof/>
                <w:sz w:val="22"/>
                <w:szCs w:val="22"/>
                <w:lang w:eastAsia="pl-PL"/>
              </w:rPr>
              <w:drawing>
                <wp:inline distT="0" distB="0" distL="0" distR="0">
                  <wp:extent cx="1476375" cy="1304925"/>
                  <wp:effectExtent l="0" t="0" r="9525" b="9525"/>
                  <wp:docPr id="1"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6375" cy="1304925"/>
                          </a:xfrm>
                          <a:prstGeom prst="rect">
                            <a:avLst/>
                          </a:prstGeom>
                          <a:noFill/>
                          <a:ln>
                            <a:noFill/>
                          </a:ln>
                        </pic:spPr>
                      </pic:pic>
                    </a:graphicData>
                  </a:graphic>
                </wp:inline>
              </w:drawing>
            </w:r>
          </w:p>
        </w:tc>
        <w:tc>
          <w:tcPr>
            <w:tcW w:w="4149" w:type="dxa"/>
            <w:shd w:val="clear" w:color="auto" w:fill="auto"/>
          </w:tcPr>
          <w:p w:rsidR="00B33DD6" w:rsidRPr="00906F51" w:rsidRDefault="00B33DD6" w:rsidP="00906F51">
            <w:pPr>
              <w:jc w:val="center"/>
              <w:rPr>
                <w:rFonts w:ascii="Calibri" w:eastAsia="Calibri" w:hAnsi="Calibri"/>
                <w:caps/>
                <w:sz w:val="22"/>
                <w:szCs w:val="22"/>
              </w:rPr>
            </w:pPr>
            <w:r w:rsidRPr="00906F51">
              <w:rPr>
                <w:rFonts w:ascii="Calibri" w:eastAsia="Calibri" w:hAnsi="Calibri"/>
                <w:caps/>
                <w:sz w:val="22"/>
                <w:szCs w:val="22"/>
              </w:rPr>
              <w:t>opatrzone kwalifikowanym podpisem elektronicznym</w:t>
            </w:r>
          </w:p>
          <w:p w:rsidR="00B33DD6" w:rsidRPr="00906F51" w:rsidRDefault="00B33DD6" w:rsidP="00906F51">
            <w:pPr>
              <w:jc w:val="center"/>
              <w:rPr>
                <w:rFonts w:ascii="Calibri" w:eastAsia="Calibri" w:hAnsi="Calibri"/>
                <w:caps/>
                <w:sz w:val="22"/>
                <w:szCs w:val="22"/>
              </w:rPr>
            </w:pPr>
          </w:p>
          <w:p w:rsidR="00B33DD6" w:rsidRPr="00906F51" w:rsidRDefault="00B33DD6" w:rsidP="00906F51">
            <w:pPr>
              <w:spacing w:after="120"/>
              <w:jc w:val="center"/>
              <w:rPr>
                <w:rFonts w:ascii="Calibri" w:eastAsia="Calibri" w:hAnsi="Calibri"/>
                <w:sz w:val="22"/>
                <w:szCs w:val="22"/>
              </w:rPr>
            </w:pPr>
            <w:r w:rsidRPr="00906F51">
              <w:rPr>
                <w:rFonts w:ascii="Calibri" w:eastAsia="Calibri" w:hAnsi="Calibri"/>
                <w:sz w:val="22"/>
                <w:szCs w:val="22"/>
              </w:rPr>
              <w:t>Z up. Starosty Piaseczyńskiego</w:t>
            </w:r>
          </w:p>
          <w:p w:rsidR="00B33DD6" w:rsidRPr="00906F51" w:rsidRDefault="00B33DD6" w:rsidP="00906F51">
            <w:pPr>
              <w:jc w:val="center"/>
              <w:rPr>
                <w:rFonts w:ascii="Calibri" w:eastAsia="Calibri" w:hAnsi="Calibri"/>
                <w:i/>
              </w:rPr>
            </w:pPr>
            <w:r w:rsidRPr="00906F51">
              <w:rPr>
                <w:rFonts w:ascii="Calibri" w:eastAsia="Calibri" w:hAnsi="Calibri"/>
                <w:i/>
              </w:rPr>
              <w:t>mgr inż. Sylwia Moszczyńska-Staś</w:t>
            </w:r>
          </w:p>
          <w:p w:rsidR="00B33DD6" w:rsidRPr="00906F51" w:rsidRDefault="00B33DD6" w:rsidP="00906F51">
            <w:pPr>
              <w:jc w:val="center"/>
              <w:rPr>
                <w:rFonts w:ascii="Calibri" w:eastAsia="Calibri" w:hAnsi="Calibri"/>
                <w:sz w:val="22"/>
                <w:szCs w:val="22"/>
              </w:rPr>
            </w:pPr>
            <w:r w:rsidRPr="00906F51">
              <w:rPr>
                <w:rFonts w:ascii="Calibri" w:eastAsia="Calibri" w:hAnsi="Calibri"/>
                <w:sz w:val="22"/>
                <w:szCs w:val="22"/>
              </w:rPr>
              <w:t>Naczelnik Wydziału</w:t>
            </w:r>
          </w:p>
          <w:p w:rsidR="00B33DD6" w:rsidRPr="00906F51" w:rsidRDefault="00B33DD6" w:rsidP="00906F51">
            <w:pPr>
              <w:jc w:val="center"/>
              <w:rPr>
                <w:rFonts w:ascii="Calibri" w:eastAsia="Calibri" w:hAnsi="Calibri"/>
                <w:sz w:val="22"/>
                <w:szCs w:val="22"/>
              </w:rPr>
            </w:pPr>
            <w:r w:rsidRPr="00906F51">
              <w:rPr>
                <w:rFonts w:ascii="Calibri" w:eastAsia="Calibri" w:hAnsi="Calibri"/>
                <w:sz w:val="22"/>
                <w:szCs w:val="22"/>
              </w:rPr>
              <w:t>Architektoniczno-Budowlanego</w:t>
            </w:r>
          </w:p>
          <w:p w:rsidR="00B33DD6" w:rsidRPr="00906F51" w:rsidRDefault="00B33DD6" w:rsidP="00906F51">
            <w:pPr>
              <w:jc w:val="center"/>
              <w:rPr>
                <w:rFonts w:ascii="Calibri" w:eastAsia="Calibri" w:hAnsi="Calibri"/>
                <w:caps/>
                <w:sz w:val="22"/>
                <w:szCs w:val="22"/>
              </w:rPr>
            </w:pPr>
          </w:p>
        </w:tc>
      </w:tr>
    </w:tbl>
    <w:p w:rsidR="00EF40DD" w:rsidRDefault="00EF40DD" w:rsidP="00435305">
      <w:pPr>
        <w:jc w:val="both"/>
        <w:rPr>
          <w:rStyle w:val="Domylnaczcionkaakapitu2"/>
          <w:b/>
        </w:rPr>
      </w:pPr>
    </w:p>
    <w:p w:rsidR="00576BD2" w:rsidRDefault="00576BD2" w:rsidP="00435305">
      <w:pPr>
        <w:jc w:val="both"/>
        <w:rPr>
          <w:rStyle w:val="Domylnaczcionkaakapitu2"/>
        </w:rPr>
      </w:pPr>
      <w:r w:rsidRPr="00435305">
        <w:rPr>
          <w:rStyle w:val="Domylnaczcionkaakapitu2"/>
          <w:b/>
        </w:rPr>
        <w:t>Załącznik:</w:t>
      </w:r>
      <w:r w:rsidRPr="00435305">
        <w:t xml:space="preserve">  zatwierdzony projekt </w:t>
      </w:r>
      <w:r w:rsidRPr="00435305">
        <w:rPr>
          <w:rStyle w:val="Domylnaczcionkaakapitu2"/>
        </w:rPr>
        <w:t>zagospodarowania terenu i architektoniczno-budowlany</w:t>
      </w:r>
      <w:r w:rsidR="00E83783">
        <w:rPr>
          <w:rStyle w:val="Domylnaczcionkaakapitu2"/>
        </w:rPr>
        <w:t xml:space="preserve"> </w:t>
      </w:r>
    </w:p>
    <w:p w:rsidR="004E4072" w:rsidRDefault="004E4072" w:rsidP="004E4072">
      <w:pPr>
        <w:pStyle w:val="Standard"/>
        <w:jc w:val="both"/>
      </w:pPr>
      <w:r>
        <w:rPr>
          <w:b/>
          <w:bCs/>
        </w:rPr>
        <w:t>Otrzymują (strony postępowania)</w:t>
      </w:r>
      <w:r>
        <w:t>:</w:t>
      </w:r>
    </w:p>
    <w:p w:rsidR="004E4072" w:rsidRDefault="00B33DD6" w:rsidP="00906F51">
      <w:pPr>
        <w:pStyle w:val="Standard"/>
        <w:numPr>
          <w:ilvl w:val="0"/>
          <w:numId w:val="8"/>
        </w:numPr>
        <w:tabs>
          <w:tab w:val="left" w:pos="-31680"/>
        </w:tabs>
        <w:jc w:val="both"/>
      </w:pPr>
      <w:r>
        <w:t xml:space="preserve">Pani Dominika Zaniewicz </w:t>
      </w:r>
      <w:r w:rsidR="004E4072">
        <w:t xml:space="preserve">- pełnomocnik inwestora    </w:t>
      </w:r>
      <w:r>
        <w:t xml:space="preserve"> </w:t>
      </w:r>
      <w:r w:rsidR="004E4072">
        <w:t xml:space="preserve">                   </w:t>
      </w:r>
      <w:r w:rsidR="004E4072">
        <w:rPr>
          <w:bCs/>
        </w:rPr>
        <w:t>(+ egz. załącznika)</w:t>
      </w:r>
    </w:p>
    <w:p w:rsidR="004E4072" w:rsidRDefault="004E4072" w:rsidP="00906F51">
      <w:pPr>
        <w:pStyle w:val="Standard"/>
        <w:numPr>
          <w:ilvl w:val="0"/>
          <w:numId w:val="7"/>
        </w:numPr>
        <w:tabs>
          <w:tab w:val="left" w:pos="-31680"/>
        </w:tabs>
        <w:jc w:val="both"/>
      </w:pPr>
      <w:r>
        <w:rPr>
          <w:bCs/>
        </w:rPr>
        <w:t>aa                                                                                                       (+ egz. załącznika)</w:t>
      </w:r>
    </w:p>
    <w:p w:rsidR="00474403" w:rsidRDefault="00474403" w:rsidP="004E4072">
      <w:pPr>
        <w:pStyle w:val="Standard"/>
        <w:rPr>
          <w:b/>
        </w:rPr>
      </w:pPr>
    </w:p>
    <w:p w:rsidR="004E4072" w:rsidRDefault="004E4072" w:rsidP="004E4072">
      <w:pPr>
        <w:pStyle w:val="Standard"/>
        <w:rPr>
          <w:b/>
        </w:rPr>
      </w:pPr>
      <w:r>
        <w:rPr>
          <w:b/>
        </w:rPr>
        <w:t>Do wiadomości:</w:t>
      </w:r>
    </w:p>
    <w:p w:rsidR="004E4072" w:rsidRDefault="004E4072" w:rsidP="00906F51">
      <w:pPr>
        <w:pStyle w:val="Standard"/>
        <w:numPr>
          <w:ilvl w:val="0"/>
          <w:numId w:val="7"/>
        </w:numPr>
        <w:overflowPunct w:val="0"/>
        <w:autoSpaceDE w:val="0"/>
      </w:pPr>
      <w:r>
        <w:t>Powiatowy Inspektor Nadzoru Budowlanego w Piasecznie</w:t>
      </w:r>
      <w:r>
        <w:br/>
        <w:t xml:space="preserve">ul. Czajewicza 2/4, 05-500 Piaseczno                      (dec. ostateczna + </w:t>
      </w:r>
      <w:r>
        <w:rPr>
          <w:bCs/>
        </w:rPr>
        <w:t>egz. załącznika)</w:t>
      </w:r>
    </w:p>
    <w:p w:rsidR="004E4072" w:rsidRDefault="004D07A0" w:rsidP="00906F51">
      <w:pPr>
        <w:pStyle w:val="Standard"/>
        <w:numPr>
          <w:ilvl w:val="0"/>
          <w:numId w:val="7"/>
        </w:numPr>
        <w:overflowPunct w:val="0"/>
        <w:autoSpaceDE w:val="0"/>
        <w:rPr>
          <w:bCs/>
        </w:rPr>
      </w:pPr>
      <w:r>
        <w:rPr>
          <w:bCs/>
        </w:rPr>
        <w:t>Wójt Gminy Lesznowola</w:t>
      </w:r>
    </w:p>
    <w:p w:rsidR="004E4072" w:rsidRDefault="004E4072" w:rsidP="004E4072">
      <w:pPr>
        <w:pStyle w:val="Standard"/>
        <w:overflowPunct w:val="0"/>
        <w:autoSpaceDE w:val="0"/>
        <w:ind w:left="720"/>
        <w:rPr>
          <w:bCs/>
        </w:rPr>
      </w:pPr>
      <w:r>
        <w:rPr>
          <w:bCs/>
        </w:rPr>
        <w:t xml:space="preserve">ul. </w:t>
      </w:r>
      <w:r w:rsidR="004D07A0">
        <w:rPr>
          <w:bCs/>
        </w:rPr>
        <w:t>Gminna 60, 05-506 Lesznowola</w:t>
      </w:r>
    </w:p>
    <w:p w:rsidR="004E4072" w:rsidRDefault="004D07A0" w:rsidP="00906F51">
      <w:pPr>
        <w:pStyle w:val="Standard"/>
        <w:numPr>
          <w:ilvl w:val="0"/>
          <w:numId w:val="7"/>
        </w:numPr>
        <w:overflowPunct w:val="0"/>
        <w:autoSpaceDE w:val="0"/>
        <w:rPr>
          <w:bCs/>
        </w:rPr>
      </w:pPr>
      <w:r>
        <w:rPr>
          <w:bCs/>
        </w:rPr>
        <w:t>Wójt Gminy Lesznowola</w:t>
      </w:r>
    </w:p>
    <w:p w:rsidR="004E4072" w:rsidRDefault="004E4072" w:rsidP="004E4072">
      <w:pPr>
        <w:pStyle w:val="Standard"/>
        <w:overflowPunct w:val="0"/>
        <w:autoSpaceDE w:val="0"/>
        <w:ind w:left="720"/>
        <w:rPr>
          <w:bCs/>
        </w:rPr>
      </w:pPr>
      <w:r>
        <w:rPr>
          <w:bCs/>
        </w:rPr>
        <w:t xml:space="preserve">ul. </w:t>
      </w:r>
      <w:r w:rsidR="004D07A0">
        <w:rPr>
          <w:bCs/>
        </w:rPr>
        <w:t xml:space="preserve">Gminna 60, 05-506 Lesznowola                                                      </w:t>
      </w:r>
      <w:r>
        <w:rPr>
          <w:bCs/>
        </w:rPr>
        <w:t>(dec. ostateczna)</w:t>
      </w:r>
    </w:p>
    <w:p w:rsidR="00576BD2" w:rsidRPr="0089326F" w:rsidRDefault="00576BD2" w:rsidP="0089326F">
      <w:pPr>
        <w:pBdr>
          <w:left w:val="none" w:sz="0" w:space="1" w:color="000000"/>
        </w:pBdr>
        <w:rPr>
          <w:b/>
          <w:i/>
          <w:u w:val="single"/>
        </w:rPr>
      </w:pPr>
    </w:p>
    <w:p w:rsidR="00B33DD6" w:rsidRDefault="00B33DD6" w:rsidP="00B33DD6">
      <w:pPr>
        <w:suppressAutoHyphens w:val="0"/>
        <w:ind w:firstLine="709"/>
        <w:jc w:val="both"/>
      </w:pPr>
      <w:r>
        <w:t xml:space="preserve">Informacja  o niniejszej  decyzji i o możliwościach  zapoznania  się z jej  treścią  oraz dokumentacją sprawy podlega podaniu do publicznej wiadomości zgodnie z art. 72 ust. 6 ustawy z dnia 3 października 2008 r. o udostępnianiu informacji o środowisku i jego ochronie, udziale społeczeństwa w ochronie środowiska oraz o ocenach oddziaływania na środowisko. </w:t>
      </w:r>
    </w:p>
    <w:p w:rsidR="00B33DD6" w:rsidRDefault="00B33DD6" w:rsidP="00B33DD6">
      <w:pPr>
        <w:rPr>
          <w:i/>
          <w:iCs/>
        </w:rPr>
      </w:pPr>
    </w:p>
    <w:p w:rsidR="00A348ED" w:rsidRDefault="00A348ED">
      <w:pPr>
        <w:ind w:left="357"/>
        <w:jc w:val="both"/>
        <w:rPr>
          <w:sz w:val="18"/>
          <w:szCs w:val="18"/>
        </w:rPr>
      </w:pPr>
    </w:p>
    <w:p w:rsidR="00A6740C" w:rsidRDefault="00A6740C" w:rsidP="00A6740C">
      <w:pPr>
        <w:rPr>
          <w:lang w:eastAsia="pl-PL"/>
        </w:rPr>
      </w:pPr>
      <w:r>
        <w:rPr>
          <w:lang w:eastAsia="pl-PL"/>
        </w:rPr>
        <w:t xml:space="preserve">Wydruk </w:t>
      </w:r>
      <w:r w:rsidRPr="008A5AE5">
        <w:rPr>
          <w:lang w:eastAsia="pl-PL"/>
        </w:rPr>
        <w:t xml:space="preserve">dokumentu, stanowi dowód </w:t>
      </w:r>
      <w:r>
        <w:rPr>
          <w:lang w:eastAsia="pl-PL"/>
        </w:rPr>
        <w:t xml:space="preserve">tego </w:t>
      </w:r>
      <w:r w:rsidRPr="008A5AE5">
        <w:rPr>
          <w:lang w:eastAsia="pl-PL"/>
        </w:rPr>
        <w:t>co zostało stwierdz</w:t>
      </w:r>
      <w:r>
        <w:rPr>
          <w:lang w:eastAsia="pl-PL"/>
        </w:rPr>
        <w:t>one w piśmie, zgodnie z art. 39</w:t>
      </w:r>
      <w:r>
        <w:rPr>
          <w:vertAlign w:val="superscript"/>
          <w:lang w:eastAsia="pl-PL"/>
        </w:rPr>
        <w:t>3</w:t>
      </w:r>
      <w:r w:rsidRPr="008A5AE5">
        <w:rPr>
          <w:lang w:eastAsia="pl-PL"/>
        </w:rPr>
        <w:t xml:space="preserve"> k.p.a. Został on wytworzony za pomocą systemu teleinformatycznego i podpisany kwalifikowanym podpisem elektronicznym. </w:t>
      </w:r>
    </w:p>
    <w:p w:rsidR="00A6740C" w:rsidRDefault="00A6740C" w:rsidP="00A6740C">
      <w:pPr>
        <w:rPr>
          <w:lang w:eastAsia="pl-PL"/>
        </w:rPr>
      </w:pPr>
    </w:p>
    <w:p w:rsidR="00A6740C" w:rsidRPr="00706247" w:rsidRDefault="00A6740C">
      <w:pPr>
        <w:ind w:left="357"/>
        <w:jc w:val="both"/>
        <w:rPr>
          <w:sz w:val="18"/>
          <w:szCs w:val="18"/>
        </w:rPr>
      </w:pPr>
    </w:p>
    <w:sectPr w:rsidR="00A6740C" w:rsidRPr="00706247" w:rsidSect="00474403">
      <w:footerReference w:type="default" r:id="rId10"/>
      <w:headerReference w:type="first" r:id="rId11"/>
      <w:footerReference w:type="first" r:id="rId12"/>
      <w:pgSz w:w="11906" w:h="16838"/>
      <w:pgMar w:top="1418" w:right="1417" w:bottom="1702" w:left="1417" w:header="708" w:footer="89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5E2D" w:rsidRDefault="00D25E2D">
      <w:r>
        <w:separator/>
      </w:r>
    </w:p>
  </w:endnote>
  <w:endnote w:type="continuationSeparator" w:id="0">
    <w:p w:rsidR="00D25E2D" w:rsidRDefault="00D25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OpenSymbol">
    <w:charset w:val="00"/>
    <w:family w:val="auto"/>
    <w:pitch w:val="variable"/>
  </w:font>
  <w:font w:name="Liberation Serif">
    <w:altName w:val="Times New Roman"/>
    <w:charset w:val="00"/>
    <w:family w:val="roman"/>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3FA" w:rsidRDefault="00D133FA">
    <w:pPr>
      <w:pStyle w:val="Styl1"/>
    </w:pPr>
  </w:p>
  <w:p w:rsidR="00D133FA" w:rsidRPr="004E4072" w:rsidRDefault="00D133FA" w:rsidP="00320BF0">
    <w:pPr>
      <w:widowControl w:val="0"/>
      <w:pBdr>
        <w:top w:val="none" w:sz="0" w:space="1" w:color="000000"/>
        <w:bottom w:val="none" w:sz="0" w:space="1" w:color="000000"/>
      </w:pBdr>
      <w:tabs>
        <w:tab w:val="center" w:pos="4536"/>
        <w:tab w:val="right" w:pos="9072"/>
        <w:tab w:val="right" w:pos="9639"/>
      </w:tabs>
    </w:pPr>
    <w:r w:rsidRPr="004E4072">
      <w:rPr>
        <w:rStyle w:val="Domylnaczcionkaakapitu2"/>
        <w:b/>
      </w:rPr>
      <w:t>ARB.6740.</w:t>
    </w:r>
    <w:r>
      <w:rPr>
        <w:rStyle w:val="Domylnaczcionkaakapitu2"/>
        <w:b/>
      </w:rPr>
      <w:t xml:space="preserve">426.2022.MgD                                                 </w:t>
    </w:r>
    <w:r w:rsidR="00B33DD6">
      <w:rPr>
        <w:rStyle w:val="Domylnaczcionkaakapitu2"/>
        <w:b/>
      </w:rPr>
      <w:t xml:space="preserve">                            </w:t>
    </w:r>
    <w:r>
      <w:rPr>
        <w:rStyle w:val="Domylnaczcionkaakapitu2"/>
        <w:b/>
      </w:rPr>
      <w:t xml:space="preserve">        </w:t>
    </w:r>
    <w:r w:rsidRPr="004E4072">
      <w:rPr>
        <w:rStyle w:val="Domylnaczcionkaakapitu2"/>
        <w:b/>
      </w:rPr>
      <w:t>st</w:t>
    </w:r>
    <w:r w:rsidRPr="004E4072">
      <w:t xml:space="preserve">rona </w:t>
    </w:r>
    <w:r w:rsidRPr="004E4072">
      <w:rPr>
        <w:rStyle w:val="Domylnaczcionkaakapitu2"/>
        <w:highlight w:val="white"/>
      </w:rPr>
      <w:fldChar w:fldCharType="begin"/>
    </w:r>
    <w:r w:rsidRPr="004E4072">
      <w:rPr>
        <w:rStyle w:val="Domylnaczcionkaakapitu2"/>
        <w:highlight w:val="white"/>
      </w:rPr>
      <w:instrText xml:space="preserve"> PAGE </w:instrText>
    </w:r>
    <w:r w:rsidRPr="004E4072">
      <w:rPr>
        <w:rStyle w:val="Domylnaczcionkaakapitu2"/>
        <w:highlight w:val="white"/>
      </w:rPr>
      <w:fldChar w:fldCharType="separate"/>
    </w:r>
    <w:r w:rsidR="00871ED3">
      <w:rPr>
        <w:rStyle w:val="Domylnaczcionkaakapitu2"/>
        <w:noProof/>
        <w:highlight w:val="white"/>
      </w:rPr>
      <w:t>2</w:t>
    </w:r>
    <w:r w:rsidRPr="004E4072">
      <w:rPr>
        <w:rStyle w:val="Domylnaczcionkaakapitu2"/>
        <w:highlight w:val="white"/>
      </w:rPr>
      <w:fldChar w:fldCharType="end"/>
    </w:r>
    <w:r w:rsidRPr="004E4072">
      <w:t>/</w:t>
    </w:r>
    <w:r w:rsidR="00320BF0">
      <w:rPr>
        <w:rStyle w:val="Domylnaczcionkaakapitu2"/>
      </w:rPr>
      <w:t>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3FA" w:rsidRDefault="00D133FA" w:rsidP="00320BF0">
    <w:pPr>
      <w:pStyle w:val="Stopka"/>
      <w:pBdr>
        <w:top w:val="none" w:sz="0" w:space="1" w:color="000000"/>
        <w:bottom w:val="none" w:sz="0" w:space="1" w:color="000000"/>
      </w:pBd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5E2D" w:rsidRDefault="00D25E2D">
      <w:r>
        <w:separator/>
      </w:r>
    </w:p>
  </w:footnote>
  <w:footnote w:type="continuationSeparator" w:id="0">
    <w:p w:rsidR="00D25E2D" w:rsidRDefault="00D25E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33FA" w:rsidRDefault="00D133FA" w:rsidP="00320BF0">
    <w:pPr>
      <w:pStyle w:val="Nagwek"/>
      <w:pBdr>
        <w:top w:val="none" w:sz="0" w:space="1" w:color="000000"/>
        <w:bottom w:val="none" w:sz="0" w:space="1" w:color="00000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5"/>
    <w:lvl w:ilvl="0">
      <w:start w:val="1"/>
      <w:numFmt w:val="decimal"/>
      <w:lvlText w:val="%1."/>
      <w:lvlJc w:val="left"/>
      <w:pPr>
        <w:tabs>
          <w:tab w:val="num" w:pos="0"/>
        </w:tabs>
        <w:ind w:left="36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2">
    <w:nsid w:val="00000003"/>
    <w:multiLevelType w:val="multilevel"/>
    <w:tmpl w:val="00000003"/>
    <w:name w:val="WW8Num4"/>
    <w:lvl w:ilvl="0">
      <w:start w:val="1"/>
      <w:numFmt w:val="decimal"/>
      <w:lvlText w:val="%1."/>
      <w:lvlJc w:val="left"/>
      <w:pPr>
        <w:tabs>
          <w:tab w:val="num" w:pos="0"/>
        </w:tabs>
        <w:ind w:left="720" w:hanging="360"/>
      </w:pPr>
      <w:rPr>
        <w:bCs/>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3">
    <w:nsid w:val="00000009"/>
    <w:multiLevelType w:val="multilevel"/>
    <w:tmpl w:val="00000009"/>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A"/>
    <w:multiLevelType w:val="multilevel"/>
    <w:tmpl w:val="0000000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0000000B"/>
    <w:multiLevelType w:val="multilevel"/>
    <w:tmpl w:val="0000000B"/>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000000C"/>
    <w:multiLevelType w:val="multilevel"/>
    <w:tmpl w:val="0000000C"/>
    <w:lvl w:ilvl="0">
      <w:start w:val="1"/>
      <w:numFmt w:val="decimal"/>
      <w:lvlText w:val="%1."/>
      <w:lvlJc w:val="left"/>
      <w:pPr>
        <w:tabs>
          <w:tab w:val="num" w:pos="0"/>
        </w:tabs>
        <w:ind w:left="777" w:hanging="360"/>
      </w:pPr>
    </w:lvl>
    <w:lvl w:ilvl="1">
      <w:start w:val="1"/>
      <w:numFmt w:val="decimal"/>
      <w:lvlText w:val="%2."/>
      <w:lvlJc w:val="left"/>
      <w:pPr>
        <w:tabs>
          <w:tab w:val="num" w:pos="0"/>
        </w:tabs>
        <w:ind w:left="1137" w:hanging="360"/>
      </w:pPr>
    </w:lvl>
    <w:lvl w:ilvl="2">
      <w:start w:val="1"/>
      <w:numFmt w:val="decimal"/>
      <w:lvlText w:val="%3."/>
      <w:lvlJc w:val="left"/>
      <w:pPr>
        <w:tabs>
          <w:tab w:val="num" w:pos="0"/>
        </w:tabs>
        <w:ind w:left="1497" w:hanging="360"/>
      </w:pPr>
    </w:lvl>
    <w:lvl w:ilvl="3">
      <w:start w:val="1"/>
      <w:numFmt w:val="decimal"/>
      <w:lvlText w:val="%4."/>
      <w:lvlJc w:val="left"/>
      <w:pPr>
        <w:tabs>
          <w:tab w:val="num" w:pos="0"/>
        </w:tabs>
        <w:ind w:left="1857" w:hanging="360"/>
      </w:pPr>
    </w:lvl>
    <w:lvl w:ilvl="4">
      <w:start w:val="1"/>
      <w:numFmt w:val="decimal"/>
      <w:lvlText w:val="%5."/>
      <w:lvlJc w:val="left"/>
      <w:pPr>
        <w:tabs>
          <w:tab w:val="num" w:pos="0"/>
        </w:tabs>
        <w:ind w:left="2217" w:hanging="360"/>
      </w:pPr>
    </w:lvl>
    <w:lvl w:ilvl="5">
      <w:start w:val="1"/>
      <w:numFmt w:val="decimal"/>
      <w:lvlText w:val="%6."/>
      <w:lvlJc w:val="left"/>
      <w:pPr>
        <w:tabs>
          <w:tab w:val="num" w:pos="0"/>
        </w:tabs>
        <w:ind w:left="2577" w:hanging="360"/>
      </w:pPr>
    </w:lvl>
    <w:lvl w:ilvl="6">
      <w:start w:val="1"/>
      <w:numFmt w:val="decimal"/>
      <w:lvlText w:val="%7."/>
      <w:lvlJc w:val="left"/>
      <w:pPr>
        <w:tabs>
          <w:tab w:val="num" w:pos="0"/>
        </w:tabs>
        <w:ind w:left="2937" w:hanging="360"/>
      </w:pPr>
    </w:lvl>
    <w:lvl w:ilvl="7">
      <w:start w:val="1"/>
      <w:numFmt w:val="decimal"/>
      <w:lvlText w:val="%8."/>
      <w:lvlJc w:val="left"/>
      <w:pPr>
        <w:tabs>
          <w:tab w:val="num" w:pos="0"/>
        </w:tabs>
        <w:ind w:left="3297" w:hanging="360"/>
      </w:pPr>
    </w:lvl>
    <w:lvl w:ilvl="8">
      <w:start w:val="1"/>
      <w:numFmt w:val="decimal"/>
      <w:lvlText w:val="%9."/>
      <w:lvlJc w:val="left"/>
      <w:pPr>
        <w:tabs>
          <w:tab w:val="num" w:pos="0"/>
        </w:tabs>
        <w:ind w:left="3657" w:hanging="360"/>
      </w:pPr>
    </w:lvl>
  </w:abstractNum>
  <w:abstractNum w:abstractNumId="7">
    <w:nsid w:val="0000000E"/>
    <w:multiLevelType w:val="multilevel"/>
    <w:tmpl w:val="0000000E"/>
    <w:lvl w:ilvl="0">
      <w:start w:val="1"/>
      <w:numFmt w:val="bullet"/>
      <w:lvlText w:val=""/>
      <w:lvlJc w:val="left"/>
      <w:pPr>
        <w:tabs>
          <w:tab w:val="num" w:pos="0"/>
        </w:tabs>
        <w:ind w:left="1068" w:hanging="360"/>
      </w:pPr>
      <w:rPr>
        <w:rFonts w:ascii="Symbol" w:hAnsi="Symbol"/>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8">
    <w:nsid w:val="00A73FEC"/>
    <w:multiLevelType w:val="multilevel"/>
    <w:tmpl w:val="0E66E2EC"/>
    <w:styleLink w:val="WW8Num5"/>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nsid w:val="07502849"/>
    <w:multiLevelType w:val="multilevel"/>
    <w:tmpl w:val="65B8A8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nsid w:val="0F281CBF"/>
    <w:multiLevelType w:val="multilevel"/>
    <w:tmpl w:val="FC70F436"/>
    <w:styleLink w:val="WW8Num42"/>
    <w:lvl w:ilvl="0">
      <w:start w:val="1"/>
      <w:numFmt w:val="decimal"/>
      <w:lvlText w:val="%1."/>
      <w:lvlJc w:val="left"/>
      <w:pPr>
        <w:ind w:left="720" w:hanging="360"/>
      </w:pPr>
      <w:rPr>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nsid w:val="106B1C1B"/>
    <w:multiLevelType w:val="hybridMultilevel"/>
    <w:tmpl w:val="3ECCA5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38A3A5E"/>
    <w:multiLevelType w:val="multilevel"/>
    <w:tmpl w:val="D124CC32"/>
    <w:lvl w:ilvl="0">
      <w:start w:val="1"/>
      <w:numFmt w:val="decimal"/>
      <w:lvlText w:val="%1."/>
      <w:lvlJc w:val="left"/>
      <w:pPr>
        <w:ind w:left="720"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17873E25"/>
    <w:multiLevelType w:val="multilevel"/>
    <w:tmpl w:val="A7922F0C"/>
    <w:lvl w:ilvl="0">
      <w:start w:val="1"/>
      <w:numFmt w:val="decimal"/>
      <w:lvlText w:val="%1)"/>
      <w:lvlJc w:val="left"/>
      <w:pPr>
        <w:ind w:left="1440" w:hanging="360"/>
      </w:pPr>
      <w:rPr>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nsid w:val="186918F7"/>
    <w:multiLevelType w:val="hybridMultilevel"/>
    <w:tmpl w:val="B052AA10"/>
    <w:lvl w:ilvl="0" w:tplc="B83C8454">
      <w:start w:val="1"/>
      <w:numFmt w:val="decimal"/>
      <w:lvlText w:val="%1)"/>
      <w:lvlJc w:val="left"/>
      <w:pPr>
        <w:ind w:left="1440" w:hanging="360"/>
      </w:pPr>
      <w:rPr>
        <w:i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nsid w:val="19E067E2"/>
    <w:multiLevelType w:val="multilevel"/>
    <w:tmpl w:val="2FB237FA"/>
    <w:styleLink w:val="WW8Num4"/>
    <w:lvl w:ilvl="0">
      <w:start w:val="1"/>
      <w:numFmt w:val="decimal"/>
      <w:lvlText w:val="%1."/>
      <w:lvlJc w:val="left"/>
      <w:pPr>
        <w:ind w:left="720" w:hanging="360"/>
      </w:pPr>
      <w:rPr>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nsid w:val="1E4F70E5"/>
    <w:multiLevelType w:val="hybridMultilevel"/>
    <w:tmpl w:val="EC2C09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2BE15B0"/>
    <w:multiLevelType w:val="multilevel"/>
    <w:tmpl w:val="8F3A238E"/>
    <w:lvl w:ilvl="0">
      <w:start w:val="1"/>
      <w:numFmt w:val="decimal"/>
      <w:lvlText w:val="%1)"/>
      <w:lvlJc w:val="left"/>
      <w:pPr>
        <w:ind w:left="1440" w:hanging="360"/>
      </w:pPr>
      <w:rPr>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8">
    <w:nsid w:val="261A5AED"/>
    <w:multiLevelType w:val="multilevel"/>
    <w:tmpl w:val="203273F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26FC56EF"/>
    <w:multiLevelType w:val="multilevel"/>
    <w:tmpl w:val="D056F3FA"/>
    <w:styleLink w:val="WW8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20">
    <w:nsid w:val="27A92758"/>
    <w:multiLevelType w:val="multilevel"/>
    <w:tmpl w:val="37AE9662"/>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21">
    <w:nsid w:val="37685032"/>
    <w:multiLevelType w:val="multilevel"/>
    <w:tmpl w:val="A686E9C4"/>
    <w:styleLink w:val="WW8Num3"/>
    <w:lvl w:ilvl="0">
      <w:start w:val="1"/>
      <w:numFmt w:val="lowerLetter"/>
      <w:lvlText w:val="%1)"/>
      <w:lvlJc w:val="left"/>
      <w:pPr>
        <w:ind w:left="360" w:hanging="360"/>
      </w:pPr>
      <w:rPr>
        <w:sz w:val="24"/>
        <w:szCs w:val="24"/>
      </w:rPr>
    </w:lvl>
    <w:lvl w:ilvl="1">
      <w:start w:val="1"/>
      <w:numFmt w:val="lowerLetter"/>
      <w:lvlText w:val="%2."/>
      <w:lvlJc w:val="left"/>
      <w:pPr>
        <w:ind w:left="720" w:hanging="360"/>
      </w:pPr>
    </w:lvl>
    <w:lvl w:ilvl="2">
      <w:start w:val="1"/>
      <w:numFmt w:val="lowerRoman"/>
      <w:lvlText w:val="%3."/>
      <w:lvlJc w:val="left"/>
      <w:pPr>
        <w:ind w:left="900" w:hanging="180"/>
      </w:pPr>
    </w:lvl>
    <w:lvl w:ilvl="3">
      <w:start w:val="1"/>
      <w:numFmt w:val="decimal"/>
      <w:lvlText w:val="%4."/>
      <w:lvlJc w:val="left"/>
      <w:pPr>
        <w:ind w:left="1260" w:hanging="360"/>
      </w:pPr>
    </w:lvl>
    <w:lvl w:ilvl="4">
      <w:start w:val="1"/>
      <w:numFmt w:val="lowerLetter"/>
      <w:lvlText w:val="%5."/>
      <w:lvlJc w:val="left"/>
      <w:pPr>
        <w:ind w:left="1620" w:hanging="360"/>
      </w:pPr>
    </w:lvl>
    <w:lvl w:ilvl="5">
      <w:start w:val="1"/>
      <w:numFmt w:val="lowerRoman"/>
      <w:lvlText w:val="%6."/>
      <w:lvlJc w:val="left"/>
      <w:pPr>
        <w:ind w:left="1800" w:hanging="180"/>
      </w:pPr>
    </w:lvl>
    <w:lvl w:ilvl="6">
      <w:start w:val="1"/>
      <w:numFmt w:val="decimal"/>
      <w:lvlText w:val="%7."/>
      <w:lvlJc w:val="left"/>
      <w:pPr>
        <w:ind w:left="2160" w:hanging="360"/>
      </w:pPr>
    </w:lvl>
    <w:lvl w:ilvl="7">
      <w:start w:val="1"/>
      <w:numFmt w:val="lowerLetter"/>
      <w:lvlText w:val="%8."/>
      <w:lvlJc w:val="left"/>
      <w:pPr>
        <w:ind w:left="2520" w:hanging="360"/>
      </w:pPr>
    </w:lvl>
    <w:lvl w:ilvl="8">
      <w:start w:val="1"/>
      <w:numFmt w:val="lowerRoman"/>
      <w:lvlText w:val="%9."/>
      <w:lvlJc w:val="left"/>
      <w:pPr>
        <w:ind w:left="2700" w:hanging="180"/>
      </w:pPr>
    </w:lvl>
  </w:abstractNum>
  <w:abstractNum w:abstractNumId="22">
    <w:nsid w:val="38E32AE6"/>
    <w:multiLevelType w:val="multilevel"/>
    <w:tmpl w:val="089E0CA6"/>
    <w:lvl w:ilvl="0">
      <w:start w:val="1"/>
      <w:numFmt w:val="decimal"/>
      <w:lvlText w:val="%1)"/>
      <w:lvlJc w:val="left"/>
      <w:pPr>
        <w:ind w:left="1440" w:hanging="360"/>
      </w:pPr>
      <w:rPr>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3">
    <w:nsid w:val="46B00E00"/>
    <w:multiLevelType w:val="multilevel"/>
    <w:tmpl w:val="AEE87002"/>
    <w:styleLink w:val="WW8Num43"/>
    <w:lvl w:ilvl="0">
      <w:start w:val="1"/>
      <w:numFmt w:val="decimal"/>
      <w:lvlText w:val="%1."/>
      <w:lvlJc w:val="left"/>
      <w:pPr>
        <w:ind w:left="720" w:hanging="360"/>
      </w:pPr>
      <w:rPr>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nsid w:val="48F06E05"/>
    <w:multiLevelType w:val="multilevel"/>
    <w:tmpl w:val="F56851B6"/>
    <w:styleLink w:val="WW8Num2"/>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5">
    <w:nsid w:val="4E02766C"/>
    <w:multiLevelType w:val="multilevel"/>
    <w:tmpl w:val="BCFC9D2C"/>
    <w:lvl w:ilvl="0">
      <w:numFmt w:val="bullet"/>
      <w:lvlText w:val=""/>
      <w:lvlJc w:val="left"/>
      <w:pPr>
        <w:ind w:left="2138" w:hanging="360"/>
      </w:pPr>
      <w:rPr>
        <w:rFonts w:ascii="Symbol" w:hAnsi="Symbol"/>
      </w:rPr>
    </w:lvl>
    <w:lvl w:ilvl="1">
      <w:numFmt w:val="bullet"/>
      <w:lvlText w:val="o"/>
      <w:lvlJc w:val="left"/>
      <w:pPr>
        <w:ind w:left="2858" w:hanging="360"/>
      </w:pPr>
      <w:rPr>
        <w:rFonts w:ascii="Courier New" w:hAnsi="Courier New" w:cs="Courier New"/>
      </w:rPr>
    </w:lvl>
    <w:lvl w:ilvl="2">
      <w:numFmt w:val="bullet"/>
      <w:lvlText w:val=""/>
      <w:lvlJc w:val="left"/>
      <w:pPr>
        <w:ind w:left="3578" w:hanging="360"/>
      </w:pPr>
      <w:rPr>
        <w:rFonts w:ascii="Wingdings" w:hAnsi="Wingdings"/>
      </w:rPr>
    </w:lvl>
    <w:lvl w:ilvl="3">
      <w:numFmt w:val="bullet"/>
      <w:lvlText w:val=""/>
      <w:lvlJc w:val="left"/>
      <w:pPr>
        <w:ind w:left="4298" w:hanging="360"/>
      </w:pPr>
      <w:rPr>
        <w:rFonts w:ascii="Symbol" w:hAnsi="Symbol"/>
      </w:rPr>
    </w:lvl>
    <w:lvl w:ilvl="4">
      <w:numFmt w:val="bullet"/>
      <w:lvlText w:val="o"/>
      <w:lvlJc w:val="left"/>
      <w:pPr>
        <w:ind w:left="5018" w:hanging="360"/>
      </w:pPr>
      <w:rPr>
        <w:rFonts w:ascii="Courier New" w:hAnsi="Courier New" w:cs="Courier New"/>
      </w:rPr>
    </w:lvl>
    <w:lvl w:ilvl="5">
      <w:numFmt w:val="bullet"/>
      <w:lvlText w:val=""/>
      <w:lvlJc w:val="left"/>
      <w:pPr>
        <w:ind w:left="5738" w:hanging="360"/>
      </w:pPr>
      <w:rPr>
        <w:rFonts w:ascii="Wingdings" w:hAnsi="Wingdings"/>
      </w:rPr>
    </w:lvl>
    <w:lvl w:ilvl="6">
      <w:numFmt w:val="bullet"/>
      <w:lvlText w:val=""/>
      <w:lvlJc w:val="left"/>
      <w:pPr>
        <w:ind w:left="6458" w:hanging="360"/>
      </w:pPr>
      <w:rPr>
        <w:rFonts w:ascii="Symbol" w:hAnsi="Symbol"/>
      </w:rPr>
    </w:lvl>
    <w:lvl w:ilvl="7">
      <w:numFmt w:val="bullet"/>
      <w:lvlText w:val="o"/>
      <w:lvlJc w:val="left"/>
      <w:pPr>
        <w:ind w:left="7178" w:hanging="360"/>
      </w:pPr>
      <w:rPr>
        <w:rFonts w:ascii="Courier New" w:hAnsi="Courier New" w:cs="Courier New"/>
      </w:rPr>
    </w:lvl>
    <w:lvl w:ilvl="8">
      <w:numFmt w:val="bullet"/>
      <w:lvlText w:val=""/>
      <w:lvlJc w:val="left"/>
      <w:pPr>
        <w:ind w:left="7898" w:hanging="360"/>
      </w:pPr>
      <w:rPr>
        <w:rFonts w:ascii="Wingdings" w:hAnsi="Wingdings"/>
      </w:rPr>
    </w:lvl>
  </w:abstractNum>
  <w:abstractNum w:abstractNumId="26">
    <w:nsid w:val="4E350E62"/>
    <w:multiLevelType w:val="multilevel"/>
    <w:tmpl w:val="DE0C0EE2"/>
    <w:styleLink w:val="WW8Num41"/>
    <w:lvl w:ilvl="0">
      <w:start w:val="1"/>
      <w:numFmt w:val="decimal"/>
      <w:lvlText w:val="%1."/>
      <w:lvlJc w:val="left"/>
      <w:pPr>
        <w:ind w:left="720" w:hanging="360"/>
      </w:pPr>
      <w:rPr>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nsid w:val="511F644F"/>
    <w:multiLevelType w:val="multilevel"/>
    <w:tmpl w:val="F0F0B6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nsid w:val="5DAD7125"/>
    <w:multiLevelType w:val="hybridMultilevel"/>
    <w:tmpl w:val="43905DB2"/>
    <w:lvl w:ilvl="0" w:tplc="6E2E54E4">
      <w:start w:val="1"/>
      <w:numFmt w:val="decimal"/>
      <w:lvlText w:val="%1)"/>
      <w:lvlJc w:val="left"/>
      <w:pPr>
        <w:ind w:left="1440" w:hanging="360"/>
      </w:pPr>
      <w:rPr>
        <w:rFonts w:ascii="Times New Roman" w:hAnsi="Times New Roman" w:cs="Times New Roman"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67A1596A"/>
    <w:multiLevelType w:val="multilevel"/>
    <w:tmpl w:val="E4A2ACB4"/>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30">
    <w:nsid w:val="6B377117"/>
    <w:multiLevelType w:val="multilevel"/>
    <w:tmpl w:val="91E0C398"/>
    <w:styleLink w:val="WW8Num3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nsid w:val="6D7E498E"/>
    <w:multiLevelType w:val="multilevel"/>
    <w:tmpl w:val="3BBE49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nsid w:val="6F166B94"/>
    <w:multiLevelType w:val="multilevel"/>
    <w:tmpl w:val="B120A110"/>
    <w:styleLink w:val="WW8Num3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70DC79CE"/>
    <w:multiLevelType w:val="multilevel"/>
    <w:tmpl w:val="2B70D31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nsid w:val="788255E0"/>
    <w:multiLevelType w:val="hybridMultilevel"/>
    <w:tmpl w:val="CAC0CF7E"/>
    <w:lvl w:ilvl="0" w:tplc="005C0882">
      <w:start w:val="1"/>
      <w:numFmt w:val="decimal"/>
      <w:lvlText w:val="%1)"/>
      <w:lvlJc w:val="left"/>
      <w:pPr>
        <w:ind w:left="1440" w:hanging="360"/>
      </w:pPr>
      <w:rPr>
        <w:rFonts w:ascii="Times New Roman" w:hAnsi="Times New Roman" w:cs="Times New Roman" w:hint="default"/>
        <w:i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nsid w:val="7E4B68B6"/>
    <w:multiLevelType w:val="hybridMultilevel"/>
    <w:tmpl w:val="1DB27D98"/>
    <w:lvl w:ilvl="0" w:tplc="0415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0"/>
  </w:num>
  <w:num w:numId="2">
    <w:abstractNumId w:val="3"/>
  </w:num>
  <w:num w:numId="3">
    <w:abstractNumId w:val="4"/>
  </w:num>
  <w:num w:numId="4">
    <w:abstractNumId w:val="5"/>
  </w:num>
  <w:num w:numId="5">
    <w:abstractNumId w:val="6"/>
  </w:num>
  <w:num w:numId="6">
    <w:abstractNumId w:val="7"/>
  </w:num>
  <w:num w:numId="7">
    <w:abstractNumId w:val="15"/>
  </w:num>
  <w:num w:numId="8">
    <w:abstractNumId w:val="15"/>
    <w:lvlOverride w:ilvl="0">
      <w:startOverride w:val="1"/>
    </w:lvlOverride>
  </w:num>
  <w:num w:numId="9">
    <w:abstractNumId w:val="8"/>
  </w:num>
  <w:num w:numId="10">
    <w:abstractNumId w:val="23"/>
  </w:num>
  <w:num w:numId="11">
    <w:abstractNumId w:val="10"/>
  </w:num>
  <w:num w:numId="12">
    <w:abstractNumId w:val="26"/>
  </w:num>
  <w:num w:numId="13">
    <w:abstractNumId w:val="30"/>
  </w:num>
  <w:num w:numId="14">
    <w:abstractNumId w:val="32"/>
  </w:num>
  <w:num w:numId="15">
    <w:abstractNumId w:val="19"/>
  </w:num>
  <w:num w:numId="16">
    <w:abstractNumId w:val="24"/>
  </w:num>
  <w:num w:numId="17">
    <w:abstractNumId w:val="21"/>
  </w:num>
  <w:num w:numId="18">
    <w:abstractNumId w:val="29"/>
  </w:num>
  <w:num w:numId="19">
    <w:abstractNumId w:val="33"/>
  </w:num>
  <w:num w:numId="20">
    <w:abstractNumId w:val="18"/>
  </w:num>
  <w:num w:numId="21">
    <w:abstractNumId w:val="20"/>
  </w:num>
  <w:num w:numId="22">
    <w:abstractNumId w:val="31"/>
  </w:num>
  <w:num w:numId="23">
    <w:abstractNumId w:val="9"/>
  </w:num>
  <w:num w:numId="24">
    <w:abstractNumId w:val="27"/>
  </w:num>
  <w:num w:numId="25">
    <w:abstractNumId w:val="11"/>
  </w:num>
  <w:num w:numId="26">
    <w:abstractNumId w:val="12"/>
  </w:num>
  <w:num w:numId="27">
    <w:abstractNumId w:val="13"/>
  </w:num>
  <w:num w:numId="28">
    <w:abstractNumId w:val="17"/>
  </w:num>
  <w:num w:numId="29">
    <w:abstractNumId w:val="22"/>
  </w:num>
  <w:num w:numId="30">
    <w:abstractNumId w:val="25"/>
  </w:num>
  <w:num w:numId="31">
    <w:abstractNumId w:val="14"/>
  </w:num>
  <w:num w:numId="32">
    <w:abstractNumId w:val="35"/>
  </w:num>
  <w:num w:numId="33">
    <w:abstractNumId w:val="16"/>
  </w:num>
  <w:num w:numId="34">
    <w:abstractNumId w:val="34"/>
  </w:num>
  <w:num w:numId="35">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771"/>
    <w:rsid w:val="0003426F"/>
    <w:rsid w:val="00055512"/>
    <w:rsid w:val="00067A68"/>
    <w:rsid w:val="00087ACD"/>
    <w:rsid w:val="000C07A1"/>
    <w:rsid w:val="000C7D2E"/>
    <w:rsid w:val="000D1A55"/>
    <w:rsid w:val="000F0B69"/>
    <w:rsid w:val="000F2D2D"/>
    <w:rsid w:val="00117192"/>
    <w:rsid w:val="001533D6"/>
    <w:rsid w:val="00161176"/>
    <w:rsid w:val="001B7941"/>
    <w:rsid w:val="001C2580"/>
    <w:rsid w:val="0024140F"/>
    <w:rsid w:val="00250597"/>
    <w:rsid w:val="00266C98"/>
    <w:rsid w:val="0027683E"/>
    <w:rsid w:val="002811A6"/>
    <w:rsid w:val="00297AAD"/>
    <w:rsid w:val="002A741A"/>
    <w:rsid w:val="002F227E"/>
    <w:rsid w:val="00320BF0"/>
    <w:rsid w:val="00330FD8"/>
    <w:rsid w:val="003743C0"/>
    <w:rsid w:val="00376A89"/>
    <w:rsid w:val="00377933"/>
    <w:rsid w:val="00382280"/>
    <w:rsid w:val="003829AA"/>
    <w:rsid w:val="003A363C"/>
    <w:rsid w:val="003A6500"/>
    <w:rsid w:val="003A7F01"/>
    <w:rsid w:val="003C2418"/>
    <w:rsid w:val="003C3461"/>
    <w:rsid w:val="003E10F4"/>
    <w:rsid w:val="003E677B"/>
    <w:rsid w:val="003F70FB"/>
    <w:rsid w:val="004004D8"/>
    <w:rsid w:val="00435305"/>
    <w:rsid w:val="00474403"/>
    <w:rsid w:val="00486771"/>
    <w:rsid w:val="00496329"/>
    <w:rsid w:val="004A2A02"/>
    <w:rsid w:val="004D07A0"/>
    <w:rsid w:val="004D76BD"/>
    <w:rsid w:val="004E4072"/>
    <w:rsid w:val="00555289"/>
    <w:rsid w:val="00576BD2"/>
    <w:rsid w:val="005B1611"/>
    <w:rsid w:val="005D3476"/>
    <w:rsid w:val="005D3FD2"/>
    <w:rsid w:val="006313D3"/>
    <w:rsid w:val="006448C5"/>
    <w:rsid w:val="006564E5"/>
    <w:rsid w:val="006977D5"/>
    <w:rsid w:val="006A4E12"/>
    <w:rsid w:val="00706247"/>
    <w:rsid w:val="007A42C4"/>
    <w:rsid w:val="0082084C"/>
    <w:rsid w:val="00824066"/>
    <w:rsid w:val="008305C4"/>
    <w:rsid w:val="00865D24"/>
    <w:rsid w:val="00871ED3"/>
    <w:rsid w:val="008753A4"/>
    <w:rsid w:val="0089326F"/>
    <w:rsid w:val="008B106E"/>
    <w:rsid w:val="008E6D3E"/>
    <w:rsid w:val="00906F51"/>
    <w:rsid w:val="00936453"/>
    <w:rsid w:val="009B4464"/>
    <w:rsid w:val="009C7E72"/>
    <w:rsid w:val="00A1386F"/>
    <w:rsid w:val="00A316CC"/>
    <w:rsid w:val="00A348ED"/>
    <w:rsid w:val="00A54980"/>
    <w:rsid w:val="00A6740C"/>
    <w:rsid w:val="00A77A10"/>
    <w:rsid w:val="00A80D51"/>
    <w:rsid w:val="00AA2F94"/>
    <w:rsid w:val="00AC3952"/>
    <w:rsid w:val="00AC5652"/>
    <w:rsid w:val="00AE232B"/>
    <w:rsid w:val="00B1009A"/>
    <w:rsid w:val="00B33DD6"/>
    <w:rsid w:val="00B51560"/>
    <w:rsid w:val="00B542F2"/>
    <w:rsid w:val="00B62E00"/>
    <w:rsid w:val="00B9362F"/>
    <w:rsid w:val="00C02AA8"/>
    <w:rsid w:val="00C07549"/>
    <w:rsid w:val="00C72720"/>
    <w:rsid w:val="00C806E5"/>
    <w:rsid w:val="00C93A2E"/>
    <w:rsid w:val="00CA3CF1"/>
    <w:rsid w:val="00CA41EE"/>
    <w:rsid w:val="00CD2D10"/>
    <w:rsid w:val="00CE7077"/>
    <w:rsid w:val="00D133FA"/>
    <w:rsid w:val="00D168A7"/>
    <w:rsid w:val="00D25E2D"/>
    <w:rsid w:val="00D60DBE"/>
    <w:rsid w:val="00D94EB6"/>
    <w:rsid w:val="00DA7133"/>
    <w:rsid w:val="00E40290"/>
    <w:rsid w:val="00E40C5C"/>
    <w:rsid w:val="00E50344"/>
    <w:rsid w:val="00E54BB2"/>
    <w:rsid w:val="00E7395A"/>
    <w:rsid w:val="00E83783"/>
    <w:rsid w:val="00EE1D1E"/>
    <w:rsid w:val="00EF40DD"/>
    <w:rsid w:val="00F011DC"/>
    <w:rsid w:val="00F11E70"/>
    <w:rsid w:val="00F41309"/>
    <w:rsid w:val="00F46D2F"/>
    <w:rsid w:val="00F51198"/>
    <w:rsid w:val="00F904CA"/>
    <w:rsid w:val="00FD1643"/>
    <w:rsid w:val="00FD3F72"/>
    <w:rsid w:val="00FF5FD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endnote reference" w:uiPriority="0"/>
    <w:lsdException w:name="endnote text" w:uiPriority="0"/>
    <w:lsdException w:name="List"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0" w:unhideWhenUsed="0" w:qFormat="1"/>
    <w:lsdException w:name="Emphasis" w:semiHidden="0" w:uiPriority="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Normalny">
    <w:name w:val="Normal"/>
    <w:qFormat/>
    <w:pPr>
      <w:pBdr>
        <w:top w:val="none" w:sz="0" w:space="0" w:color="000000"/>
        <w:left w:val="none" w:sz="0" w:space="0" w:color="000000"/>
        <w:bottom w:val="none" w:sz="0" w:space="0" w:color="000000"/>
        <w:right w:val="none" w:sz="0" w:space="0" w:color="000000"/>
      </w:pBdr>
      <w:suppressAutoHyphens/>
      <w:textAlignment w:val="baseline"/>
    </w:pPr>
    <w:rPr>
      <w:kern w:val="1"/>
      <w:sz w:val="24"/>
      <w:szCs w:val="24"/>
      <w:lang w:eastAsia="zh-CN"/>
    </w:rPr>
  </w:style>
  <w:style w:type="paragraph" w:styleId="Nagwek1">
    <w:name w:val="heading 1"/>
    <w:basedOn w:val="Normalny"/>
    <w:next w:val="Normalny"/>
    <w:link w:val="Nagwek1Znak"/>
    <w:uiPriority w:val="9"/>
    <w:qFormat/>
    <w:rsid w:val="00C07549"/>
    <w:pPr>
      <w:keepNext/>
      <w:keepLines/>
      <w:widowControl w:val="0"/>
      <w:pBdr>
        <w:top w:val="none" w:sz="0" w:space="0" w:color="auto"/>
        <w:left w:val="none" w:sz="0" w:space="0" w:color="auto"/>
        <w:bottom w:val="none" w:sz="0" w:space="0" w:color="auto"/>
        <w:right w:val="none" w:sz="0" w:space="0" w:color="auto"/>
      </w:pBdr>
      <w:autoSpaceDN w:val="0"/>
      <w:spacing w:before="240"/>
      <w:outlineLvl w:val="0"/>
    </w:pPr>
    <w:rPr>
      <w:rFonts w:ascii="Calibri Light" w:hAnsi="Calibri Light" w:cs="Mangal"/>
      <w:color w:val="2E74B5"/>
      <w:kern w:val="3"/>
      <w:sz w:val="32"/>
      <w:szCs w:val="29"/>
      <w:lang w:bidi="hi-IN"/>
    </w:rPr>
  </w:style>
  <w:style w:type="paragraph" w:styleId="Nagwek3">
    <w:name w:val="heading 3"/>
    <w:basedOn w:val="Normalny"/>
    <w:next w:val="Normalny"/>
    <w:uiPriority w:val="9"/>
    <w:qFormat/>
    <w:pPr>
      <w:keepNext/>
      <w:numPr>
        <w:ilvl w:val="2"/>
        <w:numId w:val="1"/>
      </w:numPr>
      <w:overflowPunct w:val="0"/>
      <w:autoSpaceDE w:val="0"/>
      <w:jc w:val="center"/>
      <w:outlineLvl w:val="2"/>
    </w:pPr>
    <w:rPr>
      <w:rFonts w:ascii="Courier New" w:eastAsia="Courier New" w:hAnsi="Courier New" w:cs="Courier New"/>
      <w:b/>
      <w:i/>
      <w:sz w:val="20"/>
      <w:szCs w:val="20"/>
      <w:u w:val="singl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2">
    <w:name w:val="Domyślna czcionka akapitu2"/>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3z0">
    <w:name w:val="WW8Num3z0"/>
    <w:rPr>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Cs/>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4z1">
    <w:name w:val="WW8Num4z1"/>
    <w:rPr>
      <w:rFonts w:ascii="Courier New" w:eastAsia="Courier New" w:hAnsi="Courier New" w:cs="Courier New"/>
    </w:rPr>
  </w:style>
  <w:style w:type="character" w:customStyle="1" w:styleId="WW8Num4z2">
    <w:name w:val="WW8Num4z2"/>
    <w:rPr>
      <w:rFonts w:ascii="Wingdings" w:eastAsia="Wingdings" w:hAnsi="Wingdings" w:cs="Wingdings"/>
    </w:rPr>
  </w:style>
  <w:style w:type="character" w:customStyle="1" w:styleId="WW8Num6z0">
    <w:name w:val="WW8Num6z0"/>
    <w:rPr>
      <w:rFonts w:ascii="Symbol" w:eastAsia="Symbol" w:hAnsi="Symbol" w:cs="Symbol"/>
    </w:rPr>
  </w:style>
  <w:style w:type="character" w:customStyle="1" w:styleId="WW8Num6z1">
    <w:name w:val="WW8Num6z1"/>
    <w:rPr>
      <w:rFonts w:ascii="Courier New" w:eastAsia="Courier New" w:hAnsi="Courier New" w:cs="Courier New"/>
    </w:rPr>
  </w:style>
  <w:style w:type="character" w:customStyle="1" w:styleId="WW8Num6z2">
    <w:name w:val="WW8Num6z2"/>
    <w:rPr>
      <w:rFonts w:ascii="Wingdings" w:eastAsia="Wingdings" w:hAnsi="Wingdings" w:cs="Wingdings"/>
    </w:rPr>
  </w:style>
  <w:style w:type="character" w:customStyle="1" w:styleId="WW8Num7z0">
    <w:name w:val="WW8Num7z0"/>
    <w:rPr>
      <w:rFonts w:ascii="Symbol" w:eastAsia="Symbol" w:hAnsi="Symbol" w:cs="Symbol"/>
    </w:rPr>
  </w:style>
  <w:style w:type="character" w:customStyle="1" w:styleId="WW8Num7z1">
    <w:name w:val="WW8Num7z1"/>
    <w:rPr>
      <w:rFonts w:ascii="Courier New" w:eastAsia="Courier New" w:hAnsi="Courier New" w:cs="Courier New"/>
    </w:rPr>
  </w:style>
  <w:style w:type="character" w:customStyle="1" w:styleId="WW8Num7z2">
    <w:name w:val="WW8Num7z2"/>
    <w:rPr>
      <w:rFonts w:ascii="Wingdings" w:eastAsia="Wingdings" w:hAnsi="Wingdings" w:cs="Wingdings"/>
    </w:rPr>
  </w:style>
  <w:style w:type="character" w:customStyle="1" w:styleId="WW8Num8z0">
    <w:name w:val="WW8Num8z0"/>
    <w:rPr>
      <w:rFonts w:ascii="Symbol" w:eastAsia="Symbol" w:hAnsi="Symbol" w:cs="Symbol"/>
    </w:rPr>
  </w:style>
  <w:style w:type="character" w:customStyle="1" w:styleId="WW8Num8z1">
    <w:name w:val="WW8Num8z1"/>
    <w:rPr>
      <w:rFonts w:ascii="Courier New" w:eastAsia="Courier New" w:hAnsi="Courier New" w:cs="Courier New"/>
    </w:rPr>
  </w:style>
  <w:style w:type="character" w:customStyle="1" w:styleId="WW8Num8z2">
    <w:name w:val="WW8Num8z2"/>
    <w:rPr>
      <w:rFonts w:ascii="Wingdings" w:eastAsia="Wingdings" w:hAnsi="Wingdings" w:cs="Wingdings"/>
    </w:rPr>
  </w:style>
  <w:style w:type="character" w:customStyle="1" w:styleId="WW8Num10z0">
    <w:name w:val="WW8Num10z0"/>
    <w:rPr>
      <w:rFonts w:ascii="Symbol" w:eastAsia="Symbol" w:hAnsi="Symbol" w:cs="Symbol"/>
    </w:rPr>
  </w:style>
  <w:style w:type="character" w:customStyle="1" w:styleId="WW8Num10z1">
    <w:name w:val="WW8Num10z1"/>
    <w:rPr>
      <w:rFonts w:ascii="Courier New" w:eastAsia="Courier New" w:hAnsi="Courier New" w:cs="Courier New"/>
    </w:rPr>
  </w:style>
  <w:style w:type="character" w:customStyle="1" w:styleId="WW8Num10z2">
    <w:name w:val="WW8Num10z2"/>
    <w:rPr>
      <w:rFonts w:ascii="Wingdings" w:eastAsia="Wingdings" w:hAnsi="Wingdings" w:cs="Wingdings"/>
    </w:rPr>
  </w:style>
  <w:style w:type="character" w:customStyle="1" w:styleId="WW8Num12z0">
    <w:name w:val="WW8Num12z0"/>
    <w:rPr>
      <w:rFonts w:ascii="Symbol" w:eastAsia="Symbol" w:hAnsi="Symbol" w:cs="Symbol"/>
    </w:rPr>
  </w:style>
  <w:style w:type="character" w:customStyle="1" w:styleId="WW8Num12z1">
    <w:name w:val="WW8Num12z1"/>
    <w:rPr>
      <w:rFonts w:ascii="Courier New" w:eastAsia="Courier New" w:hAnsi="Courier New" w:cs="Courier New"/>
    </w:rPr>
  </w:style>
  <w:style w:type="character" w:customStyle="1" w:styleId="WW8Num12z2">
    <w:name w:val="WW8Num12z2"/>
    <w:rPr>
      <w:rFonts w:ascii="Wingdings" w:eastAsia="Wingdings" w:hAnsi="Wingdings" w:cs="Wingdings"/>
    </w:rPr>
  </w:style>
  <w:style w:type="character" w:customStyle="1" w:styleId="Domylnaczcionkaakapitu1">
    <w:name w:val="Domyślna czcionka akapitu1"/>
  </w:style>
  <w:style w:type="character" w:customStyle="1" w:styleId="Numerstrony1">
    <w:name w:val="Numer strony1"/>
    <w:basedOn w:val="Domylnaczcionkaakapitu1"/>
  </w:style>
  <w:style w:type="character" w:customStyle="1" w:styleId="Znakiprzypiswkocowych">
    <w:name w:val="Znaki przypisów końcowych"/>
    <w:rPr>
      <w:position w:val="24"/>
      <w:sz w:val="16"/>
    </w:rPr>
  </w:style>
  <w:style w:type="character" w:customStyle="1" w:styleId="StopkaZnak">
    <w:name w:val="Stopka Znak"/>
    <w:rPr>
      <w:sz w:val="24"/>
      <w:szCs w:val="24"/>
    </w:rPr>
  </w:style>
  <w:style w:type="character" w:styleId="Tytuksiki">
    <w:name w:val="Book Title"/>
    <w:qFormat/>
    <w:rPr>
      <w:b/>
      <w:bCs/>
      <w:smallCaps/>
      <w:spacing w:val="5"/>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Znakinumeracji">
    <w:name w:val="Znaki numeracji"/>
  </w:style>
  <w:style w:type="character" w:customStyle="1" w:styleId="StandardZnak">
    <w:name w:val="Standard Znak"/>
    <w:rPr>
      <w:rFonts w:ascii="Times New Roman" w:eastAsia="Times New Roman" w:hAnsi="Times New Roman" w:cs="Times New Roman"/>
      <w:lang w:bidi="ar-SA"/>
    </w:rPr>
  </w:style>
  <w:style w:type="character" w:customStyle="1" w:styleId="Styl1Znak">
    <w:name w:val="Styl1 Znak"/>
    <w:rPr>
      <w:rFonts w:ascii="Times New Roman" w:eastAsia="Times New Roman" w:hAnsi="Times New Roman" w:cs="Times New Roman"/>
      <w:lang w:bidi="ar-SA"/>
    </w:rPr>
  </w:style>
  <w:style w:type="character" w:customStyle="1" w:styleId="Hipercze1">
    <w:name w:val="Hiperłącze1"/>
    <w:rPr>
      <w:color w:val="0000FF"/>
      <w:u w:val="single"/>
    </w:rPr>
  </w:style>
  <w:style w:type="character" w:customStyle="1" w:styleId="highlight">
    <w:name w:val="highlight"/>
    <w:basedOn w:val="Domylnaczcionkaakapitu2"/>
  </w:style>
  <w:style w:type="character" w:styleId="Hipercze">
    <w:name w:val="Hyperlink"/>
    <w:rPr>
      <w:color w:val="000080"/>
      <w:u w:val="single"/>
    </w:rPr>
  </w:style>
  <w:style w:type="character" w:customStyle="1" w:styleId="Znakiwypunktowania">
    <w:name w:val="Znaki wypunktowania"/>
    <w:rPr>
      <w:rFonts w:ascii="OpenSymbol" w:eastAsia="OpenSymbol" w:hAnsi="OpenSymbol" w:cs="OpenSymbol"/>
    </w:rPr>
  </w:style>
  <w:style w:type="character" w:customStyle="1" w:styleId="alb">
    <w:name w:val="a_lb"/>
    <w:basedOn w:val="Domylnaczcionkaakapitu2"/>
  </w:style>
  <w:style w:type="character" w:customStyle="1" w:styleId="fn-ref">
    <w:name w:val="fn-ref"/>
    <w:basedOn w:val="Domylnaczcionkaakapitu2"/>
  </w:style>
  <w:style w:type="character" w:customStyle="1" w:styleId="alb-s">
    <w:name w:val="a_lb-s"/>
    <w:basedOn w:val="Domylnaczcionkaakapitu2"/>
  </w:style>
  <w:style w:type="character" w:customStyle="1" w:styleId="NagwekZnak">
    <w:name w:val="Nagłówek Znak"/>
    <w:rPr>
      <w:szCs w:val="21"/>
    </w:rPr>
  </w:style>
  <w:style w:type="character" w:customStyle="1" w:styleId="WWCharLFO4LVL1">
    <w:name w:val="WW_CharLFO4LVL1"/>
    <w:rPr>
      <w:sz w:val="24"/>
      <w:szCs w:val="24"/>
    </w:rPr>
  </w:style>
  <w:style w:type="character" w:customStyle="1" w:styleId="WWCharLFO5LVL1">
    <w:name w:val="WW_CharLFO5LVL1"/>
    <w:rPr>
      <w:bCs/>
    </w:rPr>
  </w:style>
  <w:style w:type="character" w:customStyle="1" w:styleId="WWCharLFO6LVL1">
    <w:name w:val="WW_CharLFO6LVL1"/>
    <w:rPr>
      <w:rFonts w:ascii="Symbol" w:hAnsi="Symbol"/>
    </w:rPr>
  </w:style>
  <w:style w:type="character" w:customStyle="1" w:styleId="WWCharLFO6LVL2">
    <w:name w:val="WW_CharLFO6LVL2"/>
    <w:rPr>
      <w:rFonts w:ascii="Courier New" w:hAnsi="Courier New" w:cs="Courier New"/>
    </w:rPr>
  </w:style>
  <w:style w:type="character" w:customStyle="1" w:styleId="WWCharLFO6LVL3">
    <w:name w:val="WW_CharLFO6LVL3"/>
    <w:rPr>
      <w:rFonts w:ascii="Wingdings" w:hAnsi="Wingdings"/>
    </w:rPr>
  </w:style>
  <w:style w:type="character" w:customStyle="1" w:styleId="WWCharLFO6LVL4">
    <w:name w:val="WW_CharLFO6LVL4"/>
    <w:rPr>
      <w:rFonts w:ascii="Symbol" w:hAnsi="Symbol"/>
    </w:rPr>
  </w:style>
  <w:style w:type="character" w:customStyle="1" w:styleId="WWCharLFO6LVL5">
    <w:name w:val="WW_CharLFO6LVL5"/>
    <w:rPr>
      <w:rFonts w:ascii="Courier New" w:hAnsi="Courier New" w:cs="Courier New"/>
    </w:rPr>
  </w:style>
  <w:style w:type="character" w:customStyle="1" w:styleId="WWCharLFO6LVL6">
    <w:name w:val="WW_CharLFO6LVL6"/>
    <w:rPr>
      <w:rFonts w:ascii="Wingdings" w:hAnsi="Wingdings"/>
    </w:rPr>
  </w:style>
  <w:style w:type="character" w:customStyle="1" w:styleId="WWCharLFO6LVL7">
    <w:name w:val="WW_CharLFO6LVL7"/>
    <w:rPr>
      <w:rFonts w:ascii="Symbol" w:hAnsi="Symbol"/>
    </w:rPr>
  </w:style>
  <w:style w:type="character" w:customStyle="1" w:styleId="WWCharLFO6LVL8">
    <w:name w:val="WW_CharLFO6LVL8"/>
    <w:rPr>
      <w:rFonts w:ascii="Courier New" w:hAnsi="Courier New" w:cs="Courier New"/>
    </w:rPr>
  </w:style>
  <w:style w:type="character" w:customStyle="1" w:styleId="WWCharLFO6LVL9">
    <w:name w:val="WW_CharLFO6LVL9"/>
    <w:rPr>
      <w:rFonts w:ascii="Wingdings" w:hAnsi="Wingdings"/>
    </w:rPr>
  </w:style>
  <w:style w:type="character" w:customStyle="1" w:styleId="WWCharLFO7LVL1">
    <w:name w:val="WW_CharLFO7LVL1"/>
    <w:rPr>
      <w:rFonts w:ascii="Symbol" w:hAnsi="Symbol"/>
    </w:rPr>
  </w:style>
  <w:style w:type="character" w:customStyle="1" w:styleId="WWCharLFO7LVL2">
    <w:name w:val="WW_CharLFO7LVL2"/>
    <w:rPr>
      <w:rFonts w:ascii="Courier New" w:hAnsi="Courier New" w:cs="Courier New"/>
    </w:rPr>
  </w:style>
  <w:style w:type="character" w:customStyle="1" w:styleId="WWCharLFO7LVL3">
    <w:name w:val="WW_CharLFO7LVL3"/>
    <w:rPr>
      <w:rFonts w:ascii="Wingdings" w:hAnsi="Wingdings"/>
    </w:rPr>
  </w:style>
  <w:style w:type="character" w:customStyle="1" w:styleId="WWCharLFO7LVL4">
    <w:name w:val="WW_CharLFO7LVL4"/>
    <w:rPr>
      <w:rFonts w:ascii="Symbol" w:hAnsi="Symbol"/>
    </w:rPr>
  </w:style>
  <w:style w:type="character" w:customStyle="1" w:styleId="WWCharLFO7LVL5">
    <w:name w:val="WW_CharLFO7LVL5"/>
    <w:rPr>
      <w:rFonts w:ascii="Courier New" w:hAnsi="Courier New" w:cs="Courier New"/>
    </w:rPr>
  </w:style>
  <w:style w:type="character" w:customStyle="1" w:styleId="WWCharLFO7LVL6">
    <w:name w:val="WW_CharLFO7LVL6"/>
    <w:rPr>
      <w:rFonts w:ascii="Wingdings" w:hAnsi="Wingdings"/>
    </w:rPr>
  </w:style>
  <w:style w:type="character" w:customStyle="1" w:styleId="WWCharLFO7LVL7">
    <w:name w:val="WW_CharLFO7LVL7"/>
    <w:rPr>
      <w:rFonts w:ascii="Symbol" w:hAnsi="Symbol"/>
    </w:rPr>
  </w:style>
  <w:style w:type="character" w:customStyle="1" w:styleId="WWCharLFO7LVL8">
    <w:name w:val="WW_CharLFO7LVL8"/>
    <w:rPr>
      <w:rFonts w:ascii="Courier New" w:hAnsi="Courier New" w:cs="Courier New"/>
    </w:rPr>
  </w:style>
  <w:style w:type="character" w:customStyle="1" w:styleId="WWCharLFO7LVL9">
    <w:name w:val="WW_CharLFO7LVL9"/>
    <w:rPr>
      <w:rFonts w:ascii="Wingdings" w:hAnsi="Wingdings"/>
    </w:rPr>
  </w:style>
  <w:style w:type="character" w:customStyle="1" w:styleId="WWCharLFO8LVL1">
    <w:name w:val="WW_CharLFO8LVL1"/>
    <w:rPr>
      <w:b/>
    </w:rPr>
  </w:style>
  <w:style w:type="character" w:customStyle="1" w:styleId="WWCharLFO9LVL1">
    <w:name w:val="WW_CharLFO9LVL1"/>
    <w:rPr>
      <w:rFonts w:ascii="Symbol" w:hAnsi="Symbol"/>
    </w:rPr>
  </w:style>
  <w:style w:type="character" w:customStyle="1" w:styleId="WWCharLFO9LVL2">
    <w:name w:val="WW_CharLFO9LVL2"/>
    <w:rPr>
      <w:rFonts w:ascii="Courier New" w:hAnsi="Courier New" w:cs="Courier New"/>
    </w:rPr>
  </w:style>
  <w:style w:type="character" w:customStyle="1" w:styleId="WWCharLFO9LVL3">
    <w:name w:val="WW_CharLFO9LVL3"/>
    <w:rPr>
      <w:rFonts w:ascii="Wingdings" w:hAnsi="Wingdings"/>
    </w:rPr>
  </w:style>
  <w:style w:type="character" w:customStyle="1" w:styleId="WWCharLFO9LVL4">
    <w:name w:val="WW_CharLFO9LVL4"/>
    <w:rPr>
      <w:rFonts w:ascii="Symbol" w:hAnsi="Symbol"/>
    </w:rPr>
  </w:style>
  <w:style w:type="character" w:customStyle="1" w:styleId="WWCharLFO9LVL5">
    <w:name w:val="WW_CharLFO9LVL5"/>
    <w:rPr>
      <w:rFonts w:ascii="Courier New" w:hAnsi="Courier New" w:cs="Courier New"/>
    </w:rPr>
  </w:style>
  <w:style w:type="character" w:customStyle="1" w:styleId="WWCharLFO9LVL6">
    <w:name w:val="WW_CharLFO9LVL6"/>
    <w:rPr>
      <w:rFonts w:ascii="Wingdings" w:hAnsi="Wingdings"/>
    </w:rPr>
  </w:style>
  <w:style w:type="character" w:customStyle="1" w:styleId="WWCharLFO9LVL7">
    <w:name w:val="WW_CharLFO9LVL7"/>
    <w:rPr>
      <w:rFonts w:ascii="Symbol" w:hAnsi="Symbol"/>
    </w:rPr>
  </w:style>
  <w:style w:type="character" w:customStyle="1" w:styleId="WWCharLFO9LVL8">
    <w:name w:val="WW_CharLFO9LVL8"/>
    <w:rPr>
      <w:rFonts w:ascii="Courier New" w:hAnsi="Courier New" w:cs="Courier New"/>
    </w:rPr>
  </w:style>
  <w:style w:type="character" w:customStyle="1" w:styleId="WWCharLFO9LVL9">
    <w:name w:val="WW_CharLFO9LVL9"/>
    <w:rPr>
      <w:rFonts w:ascii="Wingdings" w:hAnsi="Wingdings"/>
    </w:rPr>
  </w:style>
  <w:style w:type="character" w:customStyle="1" w:styleId="WWCharLFO10LVL1">
    <w:name w:val="WW_CharLFO10LVL1"/>
    <w:rPr>
      <w:rFonts w:ascii="Symbol" w:hAnsi="Symbol"/>
    </w:rPr>
  </w:style>
  <w:style w:type="character" w:customStyle="1" w:styleId="WWCharLFO10LVL2">
    <w:name w:val="WW_CharLFO10LVL2"/>
    <w:rPr>
      <w:rFonts w:ascii="Courier New" w:hAnsi="Courier New" w:cs="Courier New"/>
    </w:rPr>
  </w:style>
  <w:style w:type="character" w:customStyle="1" w:styleId="WWCharLFO10LVL3">
    <w:name w:val="WW_CharLFO10LVL3"/>
    <w:rPr>
      <w:rFonts w:ascii="Wingdings" w:hAnsi="Wingdings"/>
    </w:rPr>
  </w:style>
  <w:style w:type="character" w:customStyle="1" w:styleId="WWCharLFO10LVL4">
    <w:name w:val="WW_CharLFO10LVL4"/>
    <w:rPr>
      <w:rFonts w:ascii="Symbol" w:hAnsi="Symbol"/>
    </w:rPr>
  </w:style>
  <w:style w:type="character" w:customStyle="1" w:styleId="WWCharLFO10LVL5">
    <w:name w:val="WW_CharLFO10LVL5"/>
    <w:rPr>
      <w:rFonts w:ascii="Courier New" w:hAnsi="Courier New" w:cs="Courier New"/>
    </w:rPr>
  </w:style>
  <w:style w:type="character" w:customStyle="1" w:styleId="WWCharLFO10LVL6">
    <w:name w:val="WW_CharLFO10LVL6"/>
    <w:rPr>
      <w:rFonts w:ascii="Wingdings" w:hAnsi="Wingdings"/>
    </w:rPr>
  </w:style>
  <w:style w:type="character" w:customStyle="1" w:styleId="WWCharLFO10LVL7">
    <w:name w:val="WW_CharLFO10LVL7"/>
    <w:rPr>
      <w:rFonts w:ascii="Symbol" w:hAnsi="Symbol"/>
    </w:rPr>
  </w:style>
  <w:style w:type="character" w:customStyle="1" w:styleId="WWCharLFO10LVL8">
    <w:name w:val="WW_CharLFO10LVL8"/>
    <w:rPr>
      <w:rFonts w:ascii="Courier New" w:hAnsi="Courier New" w:cs="Courier New"/>
    </w:rPr>
  </w:style>
  <w:style w:type="character" w:customStyle="1" w:styleId="WWCharLFO10LVL9">
    <w:name w:val="WW_CharLFO10LVL9"/>
    <w:rPr>
      <w:rFonts w:ascii="Wingdings" w:hAnsi="Wingdings"/>
    </w:rPr>
  </w:style>
  <w:style w:type="character" w:customStyle="1" w:styleId="WWCharLFO11LVL1">
    <w:name w:val="WW_CharLFO11LVL1"/>
    <w:rPr>
      <w:rFonts w:ascii="Symbol" w:hAnsi="Symbol"/>
    </w:rPr>
  </w:style>
  <w:style w:type="character" w:customStyle="1" w:styleId="WWCharLFO11LVL2">
    <w:name w:val="WW_CharLFO11LVL2"/>
    <w:rPr>
      <w:rFonts w:ascii="Courier New" w:hAnsi="Courier New" w:cs="Courier New"/>
    </w:rPr>
  </w:style>
  <w:style w:type="character" w:customStyle="1" w:styleId="WWCharLFO11LVL3">
    <w:name w:val="WW_CharLFO11LVL3"/>
    <w:rPr>
      <w:rFonts w:ascii="Wingdings" w:hAnsi="Wingdings"/>
    </w:rPr>
  </w:style>
  <w:style w:type="character" w:customStyle="1" w:styleId="WWCharLFO11LVL4">
    <w:name w:val="WW_CharLFO11LVL4"/>
    <w:rPr>
      <w:rFonts w:ascii="Symbol" w:hAnsi="Symbol"/>
    </w:rPr>
  </w:style>
  <w:style w:type="character" w:customStyle="1" w:styleId="WWCharLFO11LVL5">
    <w:name w:val="WW_CharLFO11LVL5"/>
    <w:rPr>
      <w:rFonts w:ascii="Courier New" w:hAnsi="Courier New" w:cs="Courier New"/>
    </w:rPr>
  </w:style>
  <w:style w:type="character" w:customStyle="1" w:styleId="WWCharLFO11LVL6">
    <w:name w:val="WW_CharLFO11LVL6"/>
    <w:rPr>
      <w:rFonts w:ascii="Wingdings" w:hAnsi="Wingdings"/>
    </w:rPr>
  </w:style>
  <w:style w:type="character" w:customStyle="1" w:styleId="WWCharLFO11LVL7">
    <w:name w:val="WW_CharLFO11LVL7"/>
    <w:rPr>
      <w:rFonts w:ascii="Symbol" w:hAnsi="Symbol"/>
    </w:rPr>
  </w:style>
  <w:style w:type="character" w:customStyle="1" w:styleId="WWCharLFO11LVL8">
    <w:name w:val="WW_CharLFO11LVL8"/>
    <w:rPr>
      <w:rFonts w:ascii="Courier New" w:hAnsi="Courier New" w:cs="Courier New"/>
    </w:rPr>
  </w:style>
  <w:style w:type="character" w:customStyle="1" w:styleId="WWCharLFO11LVL9">
    <w:name w:val="WW_CharLFO11LVL9"/>
    <w:rPr>
      <w:rFonts w:ascii="Wingdings" w:hAnsi="Wingdings"/>
    </w:rPr>
  </w:style>
  <w:style w:type="character" w:customStyle="1" w:styleId="WWCharLFO18LVL1">
    <w:name w:val="WW_CharLFO18LVL1"/>
    <w:rPr>
      <w:rFonts w:ascii="Symbol" w:hAnsi="Symbol"/>
    </w:rPr>
  </w:style>
  <w:style w:type="paragraph" w:customStyle="1" w:styleId="Nagwek2">
    <w:name w:val="Nagłówek2"/>
    <w:basedOn w:val="Normalny1"/>
    <w:pPr>
      <w:tabs>
        <w:tab w:val="center" w:pos="4536"/>
        <w:tab w:val="right" w:pos="9072"/>
      </w:tabs>
    </w:pPr>
    <w:rPr>
      <w:szCs w:val="21"/>
    </w:rPr>
  </w:style>
  <w:style w:type="paragraph" w:styleId="Tekstpodstawowy">
    <w:name w:val="Body Text"/>
    <w:basedOn w:val="Normalny"/>
    <w:pPr>
      <w:spacing w:after="120"/>
    </w:pPr>
  </w:style>
  <w:style w:type="paragraph" w:customStyle="1" w:styleId="Normalny1">
    <w:name w:val="Normalny1"/>
    <w:pPr>
      <w:widowControl w:val="0"/>
      <w:pBdr>
        <w:top w:val="none" w:sz="0" w:space="0" w:color="000000"/>
        <w:left w:val="none" w:sz="0" w:space="0" w:color="000000"/>
        <w:bottom w:val="none" w:sz="0" w:space="0" w:color="000000"/>
        <w:right w:val="none" w:sz="0" w:space="0" w:color="000000"/>
      </w:pBdr>
      <w:suppressAutoHyphens/>
      <w:textAlignment w:val="baseline"/>
    </w:pPr>
    <w:rPr>
      <w:rFonts w:ascii="Liberation Serif" w:eastAsia="Lucida Sans Unicode" w:hAnsi="Liberation Serif" w:cs="Mangal"/>
      <w:kern w:val="1"/>
      <w:sz w:val="24"/>
      <w:szCs w:val="24"/>
      <w:lang w:eastAsia="zh-CN" w:bidi="hi-IN"/>
    </w:rPr>
  </w:style>
  <w:style w:type="paragraph" w:styleId="Lista">
    <w:name w:val="List"/>
    <w:basedOn w:val="Tekstpodstawowy"/>
    <w:rPr>
      <w:rFonts w:cs="Tahoma"/>
    </w:rPr>
  </w:style>
  <w:style w:type="paragraph" w:customStyle="1" w:styleId="Legenda1">
    <w:name w:val="Legenda1"/>
    <w:basedOn w:val="Normalny"/>
    <w:pPr>
      <w:suppressLineNumbers/>
      <w:spacing w:before="120" w:after="120"/>
    </w:pPr>
    <w:rPr>
      <w:rFonts w:cs="Mangal"/>
      <w:i/>
      <w:iCs/>
    </w:rPr>
  </w:style>
  <w:style w:type="paragraph" w:customStyle="1" w:styleId="Indeks">
    <w:name w:val="Indeks"/>
    <w:basedOn w:val="Normalny"/>
    <w:pPr>
      <w:suppressLineNumbers/>
    </w:pPr>
    <w:rPr>
      <w:rFonts w:cs="Tahoma"/>
    </w:rPr>
  </w:style>
  <w:style w:type="paragraph" w:customStyle="1" w:styleId="Nagwek10">
    <w:name w:val="Nagłówek1"/>
    <w:basedOn w:val="Normalny"/>
    <w:next w:val="Tekstpodstawowy"/>
    <w:pPr>
      <w:keepNext/>
      <w:spacing w:before="240" w:after="120"/>
    </w:pPr>
    <w:rPr>
      <w:rFonts w:ascii="Arial" w:eastAsia="Arial Unicode MS" w:hAnsi="Arial" w:cs="Tahoma"/>
      <w:sz w:val="28"/>
      <w:szCs w:val="28"/>
    </w:rPr>
  </w:style>
  <w:style w:type="paragraph" w:customStyle="1" w:styleId="Podpis1">
    <w:name w:val="Podpis1"/>
    <w:basedOn w:val="Normalny"/>
    <w:pPr>
      <w:suppressLineNumbers/>
      <w:spacing w:before="120" w:after="120"/>
    </w:pPr>
    <w:rPr>
      <w:rFonts w:cs="Tahoma"/>
      <w:i/>
      <w:iCs/>
    </w:rPr>
  </w:style>
  <w:style w:type="paragraph" w:styleId="Tekstdymka">
    <w:name w:val="Balloon Text"/>
    <w:basedOn w:val="Normalny"/>
    <w:rPr>
      <w:rFonts w:ascii="Tahoma" w:eastAsia="Tahoma" w:hAnsi="Tahoma" w:cs="Tahoma"/>
      <w:sz w:val="16"/>
      <w:szCs w:val="16"/>
    </w:rPr>
  </w:style>
  <w:style w:type="paragraph" w:customStyle="1" w:styleId="Tekstpodstawowy21">
    <w:name w:val="Tekst podstawowy 21"/>
    <w:basedOn w:val="Normalny"/>
    <w:pPr>
      <w:overflowPunct w:val="0"/>
      <w:autoSpaceDE w:val="0"/>
      <w:ind w:left="284" w:hanging="284"/>
      <w:jc w:val="both"/>
    </w:pPr>
    <w:rPr>
      <w:sz w:val="28"/>
      <w:szCs w:val="20"/>
    </w:rPr>
  </w:style>
  <w:style w:type="paragraph" w:customStyle="1" w:styleId="NormalnyWyjustowany">
    <w:name w:val="Normalny + Wyjustowany"/>
    <w:basedOn w:val="Normalny"/>
    <w:pPr>
      <w:tabs>
        <w:tab w:val="left" w:pos="852"/>
      </w:tabs>
      <w:overflowPunct w:val="0"/>
      <w:autoSpaceDE w:val="0"/>
      <w:ind w:left="426" w:hanging="426"/>
      <w:jc w:val="both"/>
    </w:pPr>
    <w:rPr>
      <w:sz w:val="20"/>
      <w:szCs w:val="20"/>
    </w:rPr>
  </w:style>
  <w:style w:type="paragraph" w:styleId="Stopka">
    <w:name w:val="footer"/>
    <w:basedOn w:val="Normalny"/>
    <w:pPr>
      <w:tabs>
        <w:tab w:val="center" w:pos="4536"/>
        <w:tab w:val="right" w:pos="9072"/>
      </w:tabs>
    </w:pPr>
  </w:style>
  <w:style w:type="paragraph" w:styleId="Tekstprzypisukocowego">
    <w:name w:val="endnote text"/>
    <w:basedOn w:val="Normalny"/>
    <w:rPr>
      <w:sz w:val="20"/>
      <w:szCs w:val="20"/>
    </w:rPr>
  </w:style>
  <w:style w:type="paragraph" w:customStyle="1" w:styleId="Zawartoramki">
    <w:name w:val="Zawartość ramki"/>
    <w:basedOn w:val="Tekstpodstawowy"/>
  </w:style>
  <w:style w:type="paragraph" w:customStyle="1" w:styleId="Styl1">
    <w:name w:val="Styl1"/>
    <w:basedOn w:val="Normalny"/>
    <w:pPr>
      <w:pBdr>
        <w:top w:val="single" w:sz="4" w:space="1" w:color="000000"/>
      </w:pBdr>
    </w:pPr>
  </w:style>
  <w:style w:type="paragraph" w:styleId="Akapitzlist">
    <w:name w:val="List Paragraph"/>
    <w:aliases w:val="punktor kreska,Normal,Wypunktowanie"/>
    <w:basedOn w:val="Normalny1"/>
    <w:link w:val="AkapitzlistZnak"/>
    <w:uiPriority w:val="34"/>
    <w:qFormat/>
    <w:pPr>
      <w:ind w:left="720"/>
    </w:pPr>
    <w:rPr>
      <w:szCs w:val="21"/>
    </w:rPr>
  </w:style>
  <w:style w:type="paragraph" w:styleId="NormalnyWeb">
    <w:name w:val="Normal (Web)"/>
    <w:basedOn w:val="Normalny1"/>
    <w:pPr>
      <w:widowControl/>
      <w:suppressAutoHyphens w:val="0"/>
      <w:spacing w:before="100" w:after="100"/>
      <w:textAlignment w:val="auto"/>
    </w:pPr>
    <w:rPr>
      <w:rFonts w:ascii="Times New Roman" w:eastAsia="Times New Roman" w:hAnsi="Times New Roman" w:cs="Times New Roman"/>
      <w:kern w:val="0"/>
      <w:lang w:eastAsia="pl-PL" w:bidi="ar-SA"/>
    </w:rPr>
  </w:style>
  <w:style w:type="paragraph" w:styleId="Nagwek">
    <w:name w:val="header"/>
    <w:basedOn w:val="Normalny"/>
    <w:pPr>
      <w:suppressLineNumbers/>
      <w:tabs>
        <w:tab w:val="center" w:pos="4819"/>
        <w:tab w:val="right" w:pos="9638"/>
      </w:tabs>
    </w:pPr>
  </w:style>
  <w:style w:type="paragraph" w:customStyle="1" w:styleId="Zawartotabeli">
    <w:name w:val="Zawartość tabeli"/>
    <w:basedOn w:val="Normalny"/>
    <w:pPr>
      <w:suppressLineNumbers/>
    </w:pPr>
  </w:style>
  <w:style w:type="character" w:styleId="Uwydatnienie">
    <w:name w:val="Emphasis"/>
    <w:qFormat/>
    <w:rsid w:val="00824066"/>
    <w:rPr>
      <w:i/>
      <w:iCs/>
    </w:rPr>
  </w:style>
  <w:style w:type="paragraph" w:customStyle="1" w:styleId="Standard">
    <w:name w:val="Standard"/>
    <w:rsid w:val="004E4072"/>
    <w:pPr>
      <w:suppressAutoHyphens/>
      <w:autoSpaceDN w:val="0"/>
      <w:textAlignment w:val="baseline"/>
    </w:pPr>
    <w:rPr>
      <w:kern w:val="3"/>
      <w:sz w:val="24"/>
      <w:szCs w:val="24"/>
      <w:lang w:eastAsia="zh-CN"/>
    </w:rPr>
  </w:style>
  <w:style w:type="numbering" w:customStyle="1" w:styleId="WW8Num4">
    <w:name w:val="WW8Num4"/>
    <w:basedOn w:val="Bezlisty"/>
    <w:rsid w:val="004E4072"/>
    <w:pPr>
      <w:numPr>
        <w:numId w:val="7"/>
      </w:numPr>
    </w:pPr>
  </w:style>
  <w:style w:type="character" w:customStyle="1" w:styleId="Nagwek1Znak">
    <w:name w:val="Nagłówek 1 Znak"/>
    <w:link w:val="Nagwek1"/>
    <w:uiPriority w:val="9"/>
    <w:rsid w:val="00C07549"/>
    <w:rPr>
      <w:rFonts w:ascii="Calibri Light" w:hAnsi="Calibri Light" w:cs="Mangal"/>
      <w:color w:val="2E74B5"/>
      <w:kern w:val="3"/>
      <w:sz w:val="32"/>
      <w:szCs w:val="29"/>
      <w:lang w:eastAsia="zh-CN" w:bidi="hi-IN"/>
    </w:rPr>
  </w:style>
  <w:style w:type="paragraph" w:customStyle="1" w:styleId="Heading">
    <w:name w:val="Heading"/>
    <w:basedOn w:val="Standard"/>
    <w:rsid w:val="00C07549"/>
    <w:pPr>
      <w:tabs>
        <w:tab w:val="center" w:pos="4536"/>
        <w:tab w:val="right" w:pos="9072"/>
      </w:tabs>
    </w:pPr>
  </w:style>
  <w:style w:type="paragraph" w:customStyle="1" w:styleId="Textbody">
    <w:name w:val="Text body"/>
    <w:basedOn w:val="Standard"/>
    <w:rsid w:val="00C07549"/>
    <w:pPr>
      <w:spacing w:after="120"/>
    </w:pPr>
  </w:style>
  <w:style w:type="paragraph" w:styleId="Legenda">
    <w:name w:val="caption"/>
    <w:basedOn w:val="Standard"/>
    <w:rsid w:val="00C07549"/>
    <w:pPr>
      <w:suppressLineNumbers/>
      <w:spacing w:before="120" w:after="120"/>
    </w:pPr>
    <w:rPr>
      <w:rFonts w:cs="Mangal"/>
      <w:i/>
      <w:iCs/>
    </w:rPr>
  </w:style>
  <w:style w:type="paragraph" w:customStyle="1" w:styleId="Index">
    <w:name w:val="Index"/>
    <w:basedOn w:val="Standard"/>
    <w:rsid w:val="00C07549"/>
    <w:pPr>
      <w:suppressLineNumbers/>
    </w:pPr>
    <w:rPr>
      <w:rFonts w:cs="Tahoma"/>
    </w:rPr>
  </w:style>
  <w:style w:type="paragraph" w:styleId="Tekstpodstawowy2">
    <w:name w:val="Body Text 2"/>
    <w:basedOn w:val="Standard"/>
    <w:link w:val="Tekstpodstawowy2Znak"/>
    <w:rsid w:val="00C07549"/>
    <w:pPr>
      <w:overflowPunct w:val="0"/>
      <w:autoSpaceDE w:val="0"/>
      <w:ind w:left="284" w:hanging="284"/>
      <w:jc w:val="both"/>
    </w:pPr>
    <w:rPr>
      <w:sz w:val="28"/>
      <w:szCs w:val="20"/>
    </w:rPr>
  </w:style>
  <w:style w:type="character" w:customStyle="1" w:styleId="Tekstpodstawowy2Znak">
    <w:name w:val="Tekst podstawowy 2 Znak"/>
    <w:link w:val="Tekstpodstawowy2"/>
    <w:rsid w:val="00C07549"/>
    <w:rPr>
      <w:kern w:val="3"/>
      <w:sz w:val="28"/>
      <w:lang w:eastAsia="zh-CN"/>
    </w:rPr>
  </w:style>
  <w:style w:type="paragraph" w:customStyle="1" w:styleId="Endnote">
    <w:name w:val="Endnote"/>
    <w:basedOn w:val="Standard"/>
    <w:rsid w:val="00C07549"/>
    <w:rPr>
      <w:sz w:val="20"/>
      <w:szCs w:val="20"/>
    </w:rPr>
  </w:style>
  <w:style w:type="paragraph" w:customStyle="1" w:styleId="Framecontents">
    <w:name w:val="Frame contents"/>
    <w:basedOn w:val="Textbody"/>
    <w:rsid w:val="00C07549"/>
  </w:style>
  <w:style w:type="character" w:styleId="Numerstrony">
    <w:name w:val="page number"/>
    <w:basedOn w:val="Domylnaczcionkaakapitu1"/>
    <w:rsid w:val="00C07549"/>
  </w:style>
  <w:style w:type="character" w:customStyle="1" w:styleId="EndnoteSymbol">
    <w:name w:val="Endnote Symbol"/>
    <w:rsid w:val="00C07549"/>
    <w:rPr>
      <w:position w:val="0"/>
      <w:vertAlign w:val="superscript"/>
    </w:rPr>
  </w:style>
  <w:style w:type="character" w:customStyle="1" w:styleId="NumberingSymbols">
    <w:name w:val="Numbering Symbols"/>
    <w:rsid w:val="00C07549"/>
  </w:style>
  <w:style w:type="character" w:customStyle="1" w:styleId="TekstprzypisukocowegoZnak">
    <w:name w:val="Tekst przypisu końcowego Znak"/>
    <w:rsid w:val="00C07549"/>
    <w:rPr>
      <w:sz w:val="20"/>
      <w:szCs w:val="18"/>
    </w:rPr>
  </w:style>
  <w:style w:type="character" w:styleId="Odwoanieprzypisukocowego">
    <w:name w:val="endnote reference"/>
    <w:rsid w:val="00C07549"/>
    <w:rPr>
      <w:position w:val="0"/>
      <w:vertAlign w:val="superscript"/>
    </w:rPr>
  </w:style>
  <w:style w:type="paragraph" w:customStyle="1" w:styleId="Normalny11pt">
    <w:name w:val="Normalny + 11 pt"/>
    <w:basedOn w:val="Standard"/>
    <w:rsid w:val="00C07549"/>
    <w:pPr>
      <w:tabs>
        <w:tab w:val="left" w:pos="1146"/>
        <w:tab w:val="left" w:pos="1440"/>
      </w:tabs>
      <w:overflowPunct w:val="0"/>
      <w:autoSpaceDE w:val="0"/>
      <w:ind w:left="720" w:hanging="360"/>
      <w:jc w:val="both"/>
    </w:pPr>
    <w:rPr>
      <w:sz w:val="22"/>
      <w:szCs w:val="22"/>
    </w:rPr>
  </w:style>
  <w:style w:type="character" w:styleId="Pogrubienie">
    <w:name w:val="Strong"/>
    <w:rsid w:val="00C07549"/>
    <w:rPr>
      <w:b/>
      <w:bCs/>
    </w:rPr>
  </w:style>
  <w:style w:type="paragraph" w:customStyle="1" w:styleId="western">
    <w:name w:val="western"/>
    <w:basedOn w:val="Normalny"/>
    <w:rsid w:val="00C07549"/>
    <w:pPr>
      <w:pBdr>
        <w:top w:val="none" w:sz="0" w:space="0" w:color="auto"/>
        <w:left w:val="none" w:sz="0" w:space="0" w:color="auto"/>
        <w:bottom w:val="none" w:sz="0" w:space="0" w:color="auto"/>
        <w:right w:val="none" w:sz="0" w:space="0" w:color="auto"/>
      </w:pBdr>
      <w:suppressAutoHyphens w:val="0"/>
      <w:autoSpaceDN w:val="0"/>
      <w:spacing w:before="100" w:after="119"/>
      <w:textAlignment w:val="auto"/>
    </w:pPr>
    <w:rPr>
      <w:kern w:val="0"/>
      <w:lang w:eastAsia="pl-PL"/>
    </w:rPr>
  </w:style>
  <w:style w:type="table" w:styleId="Tabela-Siatka">
    <w:name w:val="Table Grid"/>
    <w:basedOn w:val="Standardowy"/>
    <w:uiPriority w:val="39"/>
    <w:rsid w:val="00C0754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
    <w:name w:val="WW8Num5"/>
    <w:basedOn w:val="Bezlisty"/>
    <w:rsid w:val="00C07549"/>
    <w:pPr>
      <w:numPr>
        <w:numId w:val="9"/>
      </w:numPr>
    </w:pPr>
  </w:style>
  <w:style w:type="numbering" w:customStyle="1" w:styleId="WW8Num43">
    <w:name w:val="WW8Num43"/>
    <w:basedOn w:val="Bezlisty"/>
    <w:rsid w:val="00C07549"/>
    <w:pPr>
      <w:numPr>
        <w:numId w:val="10"/>
      </w:numPr>
    </w:pPr>
  </w:style>
  <w:style w:type="numbering" w:customStyle="1" w:styleId="WW8Num42">
    <w:name w:val="WW8Num42"/>
    <w:basedOn w:val="Bezlisty"/>
    <w:rsid w:val="00C07549"/>
    <w:pPr>
      <w:numPr>
        <w:numId w:val="11"/>
      </w:numPr>
    </w:pPr>
  </w:style>
  <w:style w:type="numbering" w:customStyle="1" w:styleId="WW8Num41">
    <w:name w:val="WW8Num41"/>
    <w:basedOn w:val="Bezlisty"/>
    <w:rsid w:val="00C07549"/>
    <w:pPr>
      <w:numPr>
        <w:numId w:val="12"/>
      </w:numPr>
    </w:pPr>
  </w:style>
  <w:style w:type="numbering" w:customStyle="1" w:styleId="WW8Num32">
    <w:name w:val="WW8Num32"/>
    <w:basedOn w:val="Bezlisty"/>
    <w:rsid w:val="00C07549"/>
    <w:pPr>
      <w:numPr>
        <w:numId w:val="13"/>
      </w:numPr>
    </w:pPr>
  </w:style>
  <w:style w:type="numbering" w:customStyle="1" w:styleId="WW8Num31">
    <w:name w:val="WW8Num31"/>
    <w:basedOn w:val="Bezlisty"/>
    <w:rsid w:val="00C07549"/>
    <w:pPr>
      <w:numPr>
        <w:numId w:val="14"/>
      </w:numPr>
    </w:pPr>
  </w:style>
  <w:style w:type="numbering" w:customStyle="1" w:styleId="WW8Num1">
    <w:name w:val="WW8Num1"/>
    <w:basedOn w:val="Bezlisty"/>
    <w:rsid w:val="00C07549"/>
    <w:pPr>
      <w:numPr>
        <w:numId w:val="15"/>
      </w:numPr>
    </w:pPr>
  </w:style>
  <w:style w:type="numbering" w:customStyle="1" w:styleId="WW8Num2">
    <w:name w:val="WW8Num2"/>
    <w:basedOn w:val="Bezlisty"/>
    <w:rsid w:val="00C07549"/>
    <w:pPr>
      <w:numPr>
        <w:numId w:val="16"/>
      </w:numPr>
    </w:pPr>
  </w:style>
  <w:style w:type="numbering" w:customStyle="1" w:styleId="WW8Num3">
    <w:name w:val="WW8Num3"/>
    <w:basedOn w:val="Bezlisty"/>
    <w:rsid w:val="00C07549"/>
    <w:pPr>
      <w:numPr>
        <w:numId w:val="17"/>
      </w:numPr>
    </w:pPr>
  </w:style>
  <w:style w:type="character" w:customStyle="1" w:styleId="AkapitzlistZnak">
    <w:name w:val="Akapit z listą Znak"/>
    <w:aliases w:val="punktor kreska Znak,Normal Znak1,Wypunktowanie Znak"/>
    <w:link w:val="Akapitzlist"/>
    <w:uiPriority w:val="34"/>
    <w:qFormat/>
    <w:rsid w:val="00320BF0"/>
    <w:rPr>
      <w:rFonts w:ascii="Liberation Serif" w:eastAsia="Lucida Sans Unicode" w:hAnsi="Liberation Serif" w:cs="Mangal"/>
      <w:kern w:val="1"/>
      <w:sz w:val="24"/>
      <w:szCs w:val="21"/>
      <w:lang w:eastAsia="zh-CN" w:bidi="hi-IN"/>
    </w:rPr>
  </w:style>
  <w:style w:type="paragraph" w:customStyle="1" w:styleId="GPPOPIS">
    <w:name w:val="GPP_OPIS"/>
    <w:basedOn w:val="Normalny"/>
    <w:qFormat/>
    <w:rsid w:val="00320BF0"/>
    <w:pPr>
      <w:pBdr>
        <w:top w:val="none" w:sz="0" w:space="0" w:color="auto"/>
        <w:left w:val="none" w:sz="0" w:space="0" w:color="auto"/>
        <w:bottom w:val="none" w:sz="0" w:space="0" w:color="auto"/>
        <w:right w:val="none" w:sz="0" w:space="0" w:color="auto"/>
      </w:pBdr>
      <w:suppressAutoHyphens w:val="0"/>
      <w:spacing w:after="80"/>
      <w:ind w:left="567"/>
      <w:textAlignment w:val="auto"/>
    </w:pPr>
    <w:rPr>
      <w:rFonts w:ascii="Calibri" w:eastAsia="Calibri" w:hAnsi="Calibri" w:cs="Calibri"/>
      <w:kern w:val="0"/>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endnote reference" w:uiPriority="0"/>
    <w:lsdException w:name="endnote text" w:uiPriority="0"/>
    <w:lsdException w:name="List"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0" w:unhideWhenUsed="0" w:qFormat="1"/>
    <w:lsdException w:name="Emphasis" w:semiHidden="0" w:uiPriority="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39" w:qFormat="1"/>
  </w:latentStyles>
  <w:style w:type="paragraph" w:default="1" w:styleId="Normalny">
    <w:name w:val="Normal"/>
    <w:qFormat/>
    <w:pPr>
      <w:pBdr>
        <w:top w:val="none" w:sz="0" w:space="0" w:color="000000"/>
        <w:left w:val="none" w:sz="0" w:space="0" w:color="000000"/>
        <w:bottom w:val="none" w:sz="0" w:space="0" w:color="000000"/>
        <w:right w:val="none" w:sz="0" w:space="0" w:color="000000"/>
      </w:pBdr>
      <w:suppressAutoHyphens/>
      <w:textAlignment w:val="baseline"/>
    </w:pPr>
    <w:rPr>
      <w:kern w:val="1"/>
      <w:sz w:val="24"/>
      <w:szCs w:val="24"/>
      <w:lang w:eastAsia="zh-CN"/>
    </w:rPr>
  </w:style>
  <w:style w:type="paragraph" w:styleId="Nagwek1">
    <w:name w:val="heading 1"/>
    <w:basedOn w:val="Normalny"/>
    <w:next w:val="Normalny"/>
    <w:link w:val="Nagwek1Znak"/>
    <w:uiPriority w:val="9"/>
    <w:qFormat/>
    <w:rsid w:val="00C07549"/>
    <w:pPr>
      <w:keepNext/>
      <w:keepLines/>
      <w:widowControl w:val="0"/>
      <w:pBdr>
        <w:top w:val="none" w:sz="0" w:space="0" w:color="auto"/>
        <w:left w:val="none" w:sz="0" w:space="0" w:color="auto"/>
        <w:bottom w:val="none" w:sz="0" w:space="0" w:color="auto"/>
        <w:right w:val="none" w:sz="0" w:space="0" w:color="auto"/>
      </w:pBdr>
      <w:autoSpaceDN w:val="0"/>
      <w:spacing w:before="240"/>
      <w:outlineLvl w:val="0"/>
    </w:pPr>
    <w:rPr>
      <w:rFonts w:ascii="Calibri Light" w:hAnsi="Calibri Light" w:cs="Mangal"/>
      <w:color w:val="2E74B5"/>
      <w:kern w:val="3"/>
      <w:sz w:val="32"/>
      <w:szCs w:val="29"/>
      <w:lang w:bidi="hi-IN"/>
    </w:rPr>
  </w:style>
  <w:style w:type="paragraph" w:styleId="Nagwek3">
    <w:name w:val="heading 3"/>
    <w:basedOn w:val="Normalny"/>
    <w:next w:val="Normalny"/>
    <w:uiPriority w:val="9"/>
    <w:qFormat/>
    <w:pPr>
      <w:keepNext/>
      <w:numPr>
        <w:ilvl w:val="2"/>
        <w:numId w:val="1"/>
      </w:numPr>
      <w:overflowPunct w:val="0"/>
      <w:autoSpaceDE w:val="0"/>
      <w:jc w:val="center"/>
      <w:outlineLvl w:val="2"/>
    </w:pPr>
    <w:rPr>
      <w:rFonts w:ascii="Courier New" w:eastAsia="Courier New" w:hAnsi="Courier New" w:cs="Courier New"/>
      <w:b/>
      <w:i/>
      <w:sz w:val="20"/>
      <w:szCs w:val="20"/>
      <w:u w:val="singl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2">
    <w:name w:val="Domyślna czcionka akapitu2"/>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3z0">
    <w:name w:val="WW8Num3z0"/>
    <w:rPr>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bCs/>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4z1">
    <w:name w:val="WW8Num4z1"/>
    <w:rPr>
      <w:rFonts w:ascii="Courier New" w:eastAsia="Courier New" w:hAnsi="Courier New" w:cs="Courier New"/>
    </w:rPr>
  </w:style>
  <w:style w:type="character" w:customStyle="1" w:styleId="WW8Num4z2">
    <w:name w:val="WW8Num4z2"/>
    <w:rPr>
      <w:rFonts w:ascii="Wingdings" w:eastAsia="Wingdings" w:hAnsi="Wingdings" w:cs="Wingdings"/>
    </w:rPr>
  </w:style>
  <w:style w:type="character" w:customStyle="1" w:styleId="WW8Num6z0">
    <w:name w:val="WW8Num6z0"/>
    <w:rPr>
      <w:rFonts w:ascii="Symbol" w:eastAsia="Symbol" w:hAnsi="Symbol" w:cs="Symbol"/>
    </w:rPr>
  </w:style>
  <w:style w:type="character" w:customStyle="1" w:styleId="WW8Num6z1">
    <w:name w:val="WW8Num6z1"/>
    <w:rPr>
      <w:rFonts w:ascii="Courier New" w:eastAsia="Courier New" w:hAnsi="Courier New" w:cs="Courier New"/>
    </w:rPr>
  </w:style>
  <w:style w:type="character" w:customStyle="1" w:styleId="WW8Num6z2">
    <w:name w:val="WW8Num6z2"/>
    <w:rPr>
      <w:rFonts w:ascii="Wingdings" w:eastAsia="Wingdings" w:hAnsi="Wingdings" w:cs="Wingdings"/>
    </w:rPr>
  </w:style>
  <w:style w:type="character" w:customStyle="1" w:styleId="WW8Num7z0">
    <w:name w:val="WW8Num7z0"/>
    <w:rPr>
      <w:rFonts w:ascii="Symbol" w:eastAsia="Symbol" w:hAnsi="Symbol" w:cs="Symbol"/>
    </w:rPr>
  </w:style>
  <w:style w:type="character" w:customStyle="1" w:styleId="WW8Num7z1">
    <w:name w:val="WW8Num7z1"/>
    <w:rPr>
      <w:rFonts w:ascii="Courier New" w:eastAsia="Courier New" w:hAnsi="Courier New" w:cs="Courier New"/>
    </w:rPr>
  </w:style>
  <w:style w:type="character" w:customStyle="1" w:styleId="WW8Num7z2">
    <w:name w:val="WW8Num7z2"/>
    <w:rPr>
      <w:rFonts w:ascii="Wingdings" w:eastAsia="Wingdings" w:hAnsi="Wingdings" w:cs="Wingdings"/>
    </w:rPr>
  </w:style>
  <w:style w:type="character" w:customStyle="1" w:styleId="WW8Num8z0">
    <w:name w:val="WW8Num8z0"/>
    <w:rPr>
      <w:rFonts w:ascii="Symbol" w:eastAsia="Symbol" w:hAnsi="Symbol" w:cs="Symbol"/>
    </w:rPr>
  </w:style>
  <w:style w:type="character" w:customStyle="1" w:styleId="WW8Num8z1">
    <w:name w:val="WW8Num8z1"/>
    <w:rPr>
      <w:rFonts w:ascii="Courier New" w:eastAsia="Courier New" w:hAnsi="Courier New" w:cs="Courier New"/>
    </w:rPr>
  </w:style>
  <w:style w:type="character" w:customStyle="1" w:styleId="WW8Num8z2">
    <w:name w:val="WW8Num8z2"/>
    <w:rPr>
      <w:rFonts w:ascii="Wingdings" w:eastAsia="Wingdings" w:hAnsi="Wingdings" w:cs="Wingdings"/>
    </w:rPr>
  </w:style>
  <w:style w:type="character" w:customStyle="1" w:styleId="WW8Num10z0">
    <w:name w:val="WW8Num10z0"/>
    <w:rPr>
      <w:rFonts w:ascii="Symbol" w:eastAsia="Symbol" w:hAnsi="Symbol" w:cs="Symbol"/>
    </w:rPr>
  </w:style>
  <w:style w:type="character" w:customStyle="1" w:styleId="WW8Num10z1">
    <w:name w:val="WW8Num10z1"/>
    <w:rPr>
      <w:rFonts w:ascii="Courier New" w:eastAsia="Courier New" w:hAnsi="Courier New" w:cs="Courier New"/>
    </w:rPr>
  </w:style>
  <w:style w:type="character" w:customStyle="1" w:styleId="WW8Num10z2">
    <w:name w:val="WW8Num10z2"/>
    <w:rPr>
      <w:rFonts w:ascii="Wingdings" w:eastAsia="Wingdings" w:hAnsi="Wingdings" w:cs="Wingdings"/>
    </w:rPr>
  </w:style>
  <w:style w:type="character" w:customStyle="1" w:styleId="WW8Num12z0">
    <w:name w:val="WW8Num12z0"/>
    <w:rPr>
      <w:rFonts w:ascii="Symbol" w:eastAsia="Symbol" w:hAnsi="Symbol" w:cs="Symbol"/>
    </w:rPr>
  </w:style>
  <w:style w:type="character" w:customStyle="1" w:styleId="WW8Num12z1">
    <w:name w:val="WW8Num12z1"/>
    <w:rPr>
      <w:rFonts w:ascii="Courier New" w:eastAsia="Courier New" w:hAnsi="Courier New" w:cs="Courier New"/>
    </w:rPr>
  </w:style>
  <w:style w:type="character" w:customStyle="1" w:styleId="WW8Num12z2">
    <w:name w:val="WW8Num12z2"/>
    <w:rPr>
      <w:rFonts w:ascii="Wingdings" w:eastAsia="Wingdings" w:hAnsi="Wingdings" w:cs="Wingdings"/>
    </w:rPr>
  </w:style>
  <w:style w:type="character" w:customStyle="1" w:styleId="Domylnaczcionkaakapitu1">
    <w:name w:val="Domyślna czcionka akapitu1"/>
  </w:style>
  <w:style w:type="character" w:customStyle="1" w:styleId="Numerstrony1">
    <w:name w:val="Numer strony1"/>
    <w:basedOn w:val="Domylnaczcionkaakapitu1"/>
  </w:style>
  <w:style w:type="character" w:customStyle="1" w:styleId="Znakiprzypiswkocowych">
    <w:name w:val="Znaki przypisów końcowych"/>
    <w:rPr>
      <w:position w:val="24"/>
      <w:sz w:val="16"/>
    </w:rPr>
  </w:style>
  <w:style w:type="character" w:customStyle="1" w:styleId="StopkaZnak">
    <w:name w:val="Stopka Znak"/>
    <w:rPr>
      <w:sz w:val="24"/>
      <w:szCs w:val="24"/>
    </w:rPr>
  </w:style>
  <w:style w:type="character" w:styleId="Tytuksiki">
    <w:name w:val="Book Title"/>
    <w:qFormat/>
    <w:rPr>
      <w:b/>
      <w:bCs/>
      <w:smallCaps/>
      <w:spacing w:val="5"/>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Znakinumeracji">
    <w:name w:val="Znaki numeracji"/>
  </w:style>
  <w:style w:type="character" w:customStyle="1" w:styleId="StandardZnak">
    <w:name w:val="Standard Znak"/>
    <w:rPr>
      <w:rFonts w:ascii="Times New Roman" w:eastAsia="Times New Roman" w:hAnsi="Times New Roman" w:cs="Times New Roman"/>
      <w:lang w:bidi="ar-SA"/>
    </w:rPr>
  </w:style>
  <w:style w:type="character" w:customStyle="1" w:styleId="Styl1Znak">
    <w:name w:val="Styl1 Znak"/>
    <w:rPr>
      <w:rFonts w:ascii="Times New Roman" w:eastAsia="Times New Roman" w:hAnsi="Times New Roman" w:cs="Times New Roman"/>
      <w:lang w:bidi="ar-SA"/>
    </w:rPr>
  </w:style>
  <w:style w:type="character" w:customStyle="1" w:styleId="Hipercze1">
    <w:name w:val="Hiperłącze1"/>
    <w:rPr>
      <w:color w:val="0000FF"/>
      <w:u w:val="single"/>
    </w:rPr>
  </w:style>
  <w:style w:type="character" w:customStyle="1" w:styleId="highlight">
    <w:name w:val="highlight"/>
    <w:basedOn w:val="Domylnaczcionkaakapitu2"/>
  </w:style>
  <w:style w:type="character" w:styleId="Hipercze">
    <w:name w:val="Hyperlink"/>
    <w:rPr>
      <w:color w:val="000080"/>
      <w:u w:val="single"/>
    </w:rPr>
  </w:style>
  <w:style w:type="character" w:customStyle="1" w:styleId="Znakiwypunktowania">
    <w:name w:val="Znaki wypunktowania"/>
    <w:rPr>
      <w:rFonts w:ascii="OpenSymbol" w:eastAsia="OpenSymbol" w:hAnsi="OpenSymbol" w:cs="OpenSymbol"/>
    </w:rPr>
  </w:style>
  <w:style w:type="character" w:customStyle="1" w:styleId="alb">
    <w:name w:val="a_lb"/>
    <w:basedOn w:val="Domylnaczcionkaakapitu2"/>
  </w:style>
  <w:style w:type="character" w:customStyle="1" w:styleId="fn-ref">
    <w:name w:val="fn-ref"/>
    <w:basedOn w:val="Domylnaczcionkaakapitu2"/>
  </w:style>
  <w:style w:type="character" w:customStyle="1" w:styleId="alb-s">
    <w:name w:val="a_lb-s"/>
    <w:basedOn w:val="Domylnaczcionkaakapitu2"/>
  </w:style>
  <w:style w:type="character" w:customStyle="1" w:styleId="NagwekZnak">
    <w:name w:val="Nagłówek Znak"/>
    <w:rPr>
      <w:szCs w:val="21"/>
    </w:rPr>
  </w:style>
  <w:style w:type="character" w:customStyle="1" w:styleId="WWCharLFO4LVL1">
    <w:name w:val="WW_CharLFO4LVL1"/>
    <w:rPr>
      <w:sz w:val="24"/>
      <w:szCs w:val="24"/>
    </w:rPr>
  </w:style>
  <w:style w:type="character" w:customStyle="1" w:styleId="WWCharLFO5LVL1">
    <w:name w:val="WW_CharLFO5LVL1"/>
    <w:rPr>
      <w:bCs/>
    </w:rPr>
  </w:style>
  <w:style w:type="character" w:customStyle="1" w:styleId="WWCharLFO6LVL1">
    <w:name w:val="WW_CharLFO6LVL1"/>
    <w:rPr>
      <w:rFonts w:ascii="Symbol" w:hAnsi="Symbol"/>
    </w:rPr>
  </w:style>
  <w:style w:type="character" w:customStyle="1" w:styleId="WWCharLFO6LVL2">
    <w:name w:val="WW_CharLFO6LVL2"/>
    <w:rPr>
      <w:rFonts w:ascii="Courier New" w:hAnsi="Courier New" w:cs="Courier New"/>
    </w:rPr>
  </w:style>
  <w:style w:type="character" w:customStyle="1" w:styleId="WWCharLFO6LVL3">
    <w:name w:val="WW_CharLFO6LVL3"/>
    <w:rPr>
      <w:rFonts w:ascii="Wingdings" w:hAnsi="Wingdings"/>
    </w:rPr>
  </w:style>
  <w:style w:type="character" w:customStyle="1" w:styleId="WWCharLFO6LVL4">
    <w:name w:val="WW_CharLFO6LVL4"/>
    <w:rPr>
      <w:rFonts w:ascii="Symbol" w:hAnsi="Symbol"/>
    </w:rPr>
  </w:style>
  <w:style w:type="character" w:customStyle="1" w:styleId="WWCharLFO6LVL5">
    <w:name w:val="WW_CharLFO6LVL5"/>
    <w:rPr>
      <w:rFonts w:ascii="Courier New" w:hAnsi="Courier New" w:cs="Courier New"/>
    </w:rPr>
  </w:style>
  <w:style w:type="character" w:customStyle="1" w:styleId="WWCharLFO6LVL6">
    <w:name w:val="WW_CharLFO6LVL6"/>
    <w:rPr>
      <w:rFonts w:ascii="Wingdings" w:hAnsi="Wingdings"/>
    </w:rPr>
  </w:style>
  <w:style w:type="character" w:customStyle="1" w:styleId="WWCharLFO6LVL7">
    <w:name w:val="WW_CharLFO6LVL7"/>
    <w:rPr>
      <w:rFonts w:ascii="Symbol" w:hAnsi="Symbol"/>
    </w:rPr>
  </w:style>
  <w:style w:type="character" w:customStyle="1" w:styleId="WWCharLFO6LVL8">
    <w:name w:val="WW_CharLFO6LVL8"/>
    <w:rPr>
      <w:rFonts w:ascii="Courier New" w:hAnsi="Courier New" w:cs="Courier New"/>
    </w:rPr>
  </w:style>
  <w:style w:type="character" w:customStyle="1" w:styleId="WWCharLFO6LVL9">
    <w:name w:val="WW_CharLFO6LVL9"/>
    <w:rPr>
      <w:rFonts w:ascii="Wingdings" w:hAnsi="Wingdings"/>
    </w:rPr>
  </w:style>
  <w:style w:type="character" w:customStyle="1" w:styleId="WWCharLFO7LVL1">
    <w:name w:val="WW_CharLFO7LVL1"/>
    <w:rPr>
      <w:rFonts w:ascii="Symbol" w:hAnsi="Symbol"/>
    </w:rPr>
  </w:style>
  <w:style w:type="character" w:customStyle="1" w:styleId="WWCharLFO7LVL2">
    <w:name w:val="WW_CharLFO7LVL2"/>
    <w:rPr>
      <w:rFonts w:ascii="Courier New" w:hAnsi="Courier New" w:cs="Courier New"/>
    </w:rPr>
  </w:style>
  <w:style w:type="character" w:customStyle="1" w:styleId="WWCharLFO7LVL3">
    <w:name w:val="WW_CharLFO7LVL3"/>
    <w:rPr>
      <w:rFonts w:ascii="Wingdings" w:hAnsi="Wingdings"/>
    </w:rPr>
  </w:style>
  <w:style w:type="character" w:customStyle="1" w:styleId="WWCharLFO7LVL4">
    <w:name w:val="WW_CharLFO7LVL4"/>
    <w:rPr>
      <w:rFonts w:ascii="Symbol" w:hAnsi="Symbol"/>
    </w:rPr>
  </w:style>
  <w:style w:type="character" w:customStyle="1" w:styleId="WWCharLFO7LVL5">
    <w:name w:val="WW_CharLFO7LVL5"/>
    <w:rPr>
      <w:rFonts w:ascii="Courier New" w:hAnsi="Courier New" w:cs="Courier New"/>
    </w:rPr>
  </w:style>
  <w:style w:type="character" w:customStyle="1" w:styleId="WWCharLFO7LVL6">
    <w:name w:val="WW_CharLFO7LVL6"/>
    <w:rPr>
      <w:rFonts w:ascii="Wingdings" w:hAnsi="Wingdings"/>
    </w:rPr>
  </w:style>
  <w:style w:type="character" w:customStyle="1" w:styleId="WWCharLFO7LVL7">
    <w:name w:val="WW_CharLFO7LVL7"/>
    <w:rPr>
      <w:rFonts w:ascii="Symbol" w:hAnsi="Symbol"/>
    </w:rPr>
  </w:style>
  <w:style w:type="character" w:customStyle="1" w:styleId="WWCharLFO7LVL8">
    <w:name w:val="WW_CharLFO7LVL8"/>
    <w:rPr>
      <w:rFonts w:ascii="Courier New" w:hAnsi="Courier New" w:cs="Courier New"/>
    </w:rPr>
  </w:style>
  <w:style w:type="character" w:customStyle="1" w:styleId="WWCharLFO7LVL9">
    <w:name w:val="WW_CharLFO7LVL9"/>
    <w:rPr>
      <w:rFonts w:ascii="Wingdings" w:hAnsi="Wingdings"/>
    </w:rPr>
  </w:style>
  <w:style w:type="character" w:customStyle="1" w:styleId="WWCharLFO8LVL1">
    <w:name w:val="WW_CharLFO8LVL1"/>
    <w:rPr>
      <w:b/>
    </w:rPr>
  </w:style>
  <w:style w:type="character" w:customStyle="1" w:styleId="WWCharLFO9LVL1">
    <w:name w:val="WW_CharLFO9LVL1"/>
    <w:rPr>
      <w:rFonts w:ascii="Symbol" w:hAnsi="Symbol"/>
    </w:rPr>
  </w:style>
  <w:style w:type="character" w:customStyle="1" w:styleId="WWCharLFO9LVL2">
    <w:name w:val="WW_CharLFO9LVL2"/>
    <w:rPr>
      <w:rFonts w:ascii="Courier New" w:hAnsi="Courier New" w:cs="Courier New"/>
    </w:rPr>
  </w:style>
  <w:style w:type="character" w:customStyle="1" w:styleId="WWCharLFO9LVL3">
    <w:name w:val="WW_CharLFO9LVL3"/>
    <w:rPr>
      <w:rFonts w:ascii="Wingdings" w:hAnsi="Wingdings"/>
    </w:rPr>
  </w:style>
  <w:style w:type="character" w:customStyle="1" w:styleId="WWCharLFO9LVL4">
    <w:name w:val="WW_CharLFO9LVL4"/>
    <w:rPr>
      <w:rFonts w:ascii="Symbol" w:hAnsi="Symbol"/>
    </w:rPr>
  </w:style>
  <w:style w:type="character" w:customStyle="1" w:styleId="WWCharLFO9LVL5">
    <w:name w:val="WW_CharLFO9LVL5"/>
    <w:rPr>
      <w:rFonts w:ascii="Courier New" w:hAnsi="Courier New" w:cs="Courier New"/>
    </w:rPr>
  </w:style>
  <w:style w:type="character" w:customStyle="1" w:styleId="WWCharLFO9LVL6">
    <w:name w:val="WW_CharLFO9LVL6"/>
    <w:rPr>
      <w:rFonts w:ascii="Wingdings" w:hAnsi="Wingdings"/>
    </w:rPr>
  </w:style>
  <w:style w:type="character" w:customStyle="1" w:styleId="WWCharLFO9LVL7">
    <w:name w:val="WW_CharLFO9LVL7"/>
    <w:rPr>
      <w:rFonts w:ascii="Symbol" w:hAnsi="Symbol"/>
    </w:rPr>
  </w:style>
  <w:style w:type="character" w:customStyle="1" w:styleId="WWCharLFO9LVL8">
    <w:name w:val="WW_CharLFO9LVL8"/>
    <w:rPr>
      <w:rFonts w:ascii="Courier New" w:hAnsi="Courier New" w:cs="Courier New"/>
    </w:rPr>
  </w:style>
  <w:style w:type="character" w:customStyle="1" w:styleId="WWCharLFO9LVL9">
    <w:name w:val="WW_CharLFO9LVL9"/>
    <w:rPr>
      <w:rFonts w:ascii="Wingdings" w:hAnsi="Wingdings"/>
    </w:rPr>
  </w:style>
  <w:style w:type="character" w:customStyle="1" w:styleId="WWCharLFO10LVL1">
    <w:name w:val="WW_CharLFO10LVL1"/>
    <w:rPr>
      <w:rFonts w:ascii="Symbol" w:hAnsi="Symbol"/>
    </w:rPr>
  </w:style>
  <w:style w:type="character" w:customStyle="1" w:styleId="WWCharLFO10LVL2">
    <w:name w:val="WW_CharLFO10LVL2"/>
    <w:rPr>
      <w:rFonts w:ascii="Courier New" w:hAnsi="Courier New" w:cs="Courier New"/>
    </w:rPr>
  </w:style>
  <w:style w:type="character" w:customStyle="1" w:styleId="WWCharLFO10LVL3">
    <w:name w:val="WW_CharLFO10LVL3"/>
    <w:rPr>
      <w:rFonts w:ascii="Wingdings" w:hAnsi="Wingdings"/>
    </w:rPr>
  </w:style>
  <w:style w:type="character" w:customStyle="1" w:styleId="WWCharLFO10LVL4">
    <w:name w:val="WW_CharLFO10LVL4"/>
    <w:rPr>
      <w:rFonts w:ascii="Symbol" w:hAnsi="Symbol"/>
    </w:rPr>
  </w:style>
  <w:style w:type="character" w:customStyle="1" w:styleId="WWCharLFO10LVL5">
    <w:name w:val="WW_CharLFO10LVL5"/>
    <w:rPr>
      <w:rFonts w:ascii="Courier New" w:hAnsi="Courier New" w:cs="Courier New"/>
    </w:rPr>
  </w:style>
  <w:style w:type="character" w:customStyle="1" w:styleId="WWCharLFO10LVL6">
    <w:name w:val="WW_CharLFO10LVL6"/>
    <w:rPr>
      <w:rFonts w:ascii="Wingdings" w:hAnsi="Wingdings"/>
    </w:rPr>
  </w:style>
  <w:style w:type="character" w:customStyle="1" w:styleId="WWCharLFO10LVL7">
    <w:name w:val="WW_CharLFO10LVL7"/>
    <w:rPr>
      <w:rFonts w:ascii="Symbol" w:hAnsi="Symbol"/>
    </w:rPr>
  </w:style>
  <w:style w:type="character" w:customStyle="1" w:styleId="WWCharLFO10LVL8">
    <w:name w:val="WW_CharLFO10LVL8"/>
    <w:rPr>
      <w:rFonts w:ascii="Courier New" w:hAnsi="Courier New" w:cs="Courier New"/>
    </w:rPr>
  </w:style>
  <w:style w:type="character" w:customStyle="1" w:styleId="WWCharLFO10LVL9">
    <w:name w:val="WW_CharLFO10LVL9"/>
    <w:rPr>
      <w:rFonts w:ascii="Wingdings" w:hAnsi="Wingdings"/>
    </w:rPr>
  </w:style>
  <w:style w:type="character" w:customStyle="1" w:styleId="WWCharLFO11LVL1">
    <w:name w:val="WW_CharLFO11LVL1"/>
    <w:rPr>
      <w:rFonts w:ascii="Symbol" w:hAnsi="Symbol"/>
    </w:rPr>
  </w:style>
  <w:style w:type="character" w:customStyle="1" w:styleId="WWCharLFO11LVL2">
    <w:name w:val="WW_CharLFO11LVL2"/>
    <w:rPr>
      <w:rFonts w:ascii="Courier New" w:hAnsi="Courier New" w:cs="Courier New"/>
    </w:rPr>
  </w:style>
  <w:style w:type="character" w:customStyle="1" w:styleId="WWCharLFO11LVL3">
    <w:name w:val="WW_CharLFO11LVL3"/>
    <w:rPr>
      <w:rFonts w:ascii="Wingdings" w:hAnsi="Wingdings"/>
    </w:rPr>
  </w:style>
  <w:style w:type="character" w:customStyle="1" w:styleId="WWCharLFO11LVL4">
    <w:name w:val="WW_CharLFO11LVL4"/>
    <w:rPr>
      <w:rFonts w:ascii="Symbol" w:hAnsi="Symbol"/>
    </w:rPr>
  </w:style>
  <w:style w:type="character" w:customStyle="1" w:styleId="WWCharLFO11LVL5">
    <w:name w:val="WW_CharLFO11LVL5"/>
    <w:rPr>
      <w:rFonts w:ascii="Courier New" w:hAnsi="Courier New" w:cs="Courier New"/>
    </w:rPr>
  </w:style>
  <w:style w:type="character" w:customStyle="1" w:styleId="WWCharLFO11LVL6">
    <w:name w:val="WW_CharLFO11LVL6"/>
    <w:rPr>
      <w:rFonts w:ascii="Wingdings" w:hAnsi="Wingdings"/>
    </w:rPr>
  </w:style>
  <w:style w:type="character" w:customStyle="1" w:styleId="WWCharLFO11LVL7">
    <w:name w:val="WW_CharLFO11LVL7"/>
    <w:rPr>
      <w:rFonts w:ascii="Symbol" w:hAnsi="Symbol"/>
    </w:rPr>
  </w:style>
  <w:style w:type="character" w:customStyle="1" w:styleId="WWCharLFO11LVL8">
    <w:name w:val="WW_CharLFO11LVL8"/>
    <w:rPr>
      <w:rFonts w:ascii="Courier New" w:hAnsi="Courier New" w:cs="Courier New"/>
    </w:rPr>
  </w:style>
  <w:style w:type="character" w:customStyle="1" w:styleId="WWCharLFO11LVL9">
    <w:name w:val="WW_CharLFO11LVL9"/>
    <w:rPr>
      <w:rFonts w:ascii="Wingdings" w:hAnsi="Wingdings"/>
    </w:rPr>
  </w:style>
  <w:style w:type="character" w:customStyle="1" w:styleId="WWCharLFO18LVL1">
    <w:name w:val="WW_CharLFO18LVL1"/>
    <w:rPr>
      <w:rFonts w:ascii="Symbol" w:hAnsi="Symbol"/>
    </w:rPr>
  </w:style>
  <w:style w:type="paragraph" w:customStyle="1" w:styleId="Nagwek2">
    <w:name w:val="Nagłówek2"/>
    <w:basedOn w:val="Normalny1"/>
    <w:pPr>
      <w:tabs>
        <w:tab w:val="center" w:pos="4536"/>
        <w:tab w:val="right" w:pos="9072"/>
      </w:tabs>
    </w:pPr>
    <w:rPr>
      <w:szCs w:val="21"/>
    </w:rPr>
  </w:style>
  <w:style w:type="paragraph" w:styleId="Tekstpodstawowy">
    <w:name w:val="Body Text"/>
    <w:basedOn w:val="Normalny"/>
    <w:pPr>
      <w:spacing w:after="120"/>
    </w:pPr>
  </w:style>
  <w:style w:type="paragraph" w:customStyle="1" w:styleId="Normalny1">
    <w:name w:val="Normalny1"/>
    <w:pPr>
      <w:widowControl w:val="0"/>
      <w:pBdr>
        <w:top w:val="none" w:sz="0" w:space="0" w:color="000000"/>
        <w:left w:val="none" w:sz="0" w:space="0" w:color="000000"/>
        <w:bottom w:val="none" w:sz="0" w:space="0" w:color="000000"/>
        <w:right w:val="none" w:sz="0" w:space="0" w:color="000000"/>
      </w:pBdr>
      <w:suppressAutoHyphens/>
      <w:textAlignment w:val="baseline"/>
    </w:pPr>
    <w:rPr>
      <w:rFonts w:ascii="Liberation Serif" w:eastAsia="Lucida Sans Unicode" w:hAnsi="Liberation Serif" w:cs="Mangal"/>
      <w:kern w:val="1"/>
      <w:sz w:val="24"/>
      <w:szCs w:val="24"/>
      <w:lang w:eastAsia="zh-CN" w:bidi="hi-IN"/>
    </w:rPr>
  </w:style>
  <w:style w:type="paragraph" w:styleId="Lista">
    <w:name w:val="List"/>
    <w:basedOn w:val="Tekstpodstawowy"/>
    <w:rPr>
      <w:rFonts w:cs="Tahoma"/>
    </w:rPr>
  </w:style>
  <w:style w:type="paragraph" w:customStyle="1" w:styleId="Legenda1">
    <w:name w:val="Legenda1"/>
    <w:basedOn w:val="Normalny"/>
    <w:pPr>
      <w:suppressLineNumbers/>
      <w:spacing w:before="120" w:after="120"/>
    </w:pPr>
    <w:rPr>
      <w:rFonts w:cs="Mangal"/>
      <w:i/>
      <w:iCs/>
    </w:rPr>
  </w:style>
  <w:style w:type="paragraph" w:customStyle="1" w:styleId="Indeks">
    <w:name w:val="Indeks"/>
    <w:basedOn w:val="Normalny"/>
    <w:pPr>
      <w:suppressLineNumbers/>
    </w:pPr>
    <w:rPr>
      <w:rFonts w:cs="Tahoma"/>
    </w:rPr>
  </w:style>
  <w:style w:type="paragraph" w:customStyle="1" w:styleId="Nagwek10">
    <w:name w:val="Nagłówek1"/>
    <w:basedOn w:val="Normalny"/>
    <w:next w:val="Tekstpodstawowy"/>
    <w:pPr>
      <w:keepNext/>
      <w:spacing w:before="240" w:after="120"/>
    </w:pPr>
    <w:rPr>
      <w:rFonts w:ascii="Arial" w:eastAsia="Arial Unicode MS" w:hAnsi="Arial" w:cs="Tahoma"/>
      <w:sz w:val="28"/>
      <w:szCs w:val="28"/>
    </w:rPr>
  </w:style>
  <w:style w:type="paragraph" w:customStyle="1" w:styleId="Podpis1">
    <w:name w:val="Podpis1"/>
    <w:basedOn w:val="Normalny"/>
    <w:pPr>
      <w:suppressLineNumbers/>
      <w:spacing w:before="120" w:after="120"/>
    </w:pPr>
    <w:rPr>
      <w:rFonts w:cs="Tahoma"/>
      <w:i/>
      <w:iCs/>
    </w:rPr>
  </w:style>
  <w:style w:type="paragraph" w:styleId="Tekstdymka">
    <w:name w:val="Balloon Text"/>
    <w:basedOn w:val="Normalny"/>
    <w:rPr>
      <w:rFonts w:ascii="Tahoma" w:eastAsia="Tahoma" w:hAnsi="Tahoma" w:cs="Tahoma"/>
      <w:sz w:val="16"/>
      <w:szCs w:val="16"/>
    </w:rPr>
  </w:style>
  <w:style w:type="paragraph" w:customStyle="1" w:styleId="Tekstpodstawowy21">
    <w:name w:val="Tekst podstawowy 21"/>
    <w:basedOn w:val="Normalny"/>
    <w:pPr>
      <w:overflowPunct w:val="0"/>
      <w:autoSpaceDE w:val="0"/>
      <w:ind w:left="284" w:hanging="284"/>
      <w:jc w:val="both"/>
    </w:pPr>
    <w:rPr>
      <w:sz w:val="28"/>
      <w:szCs w:val="20"/>
    </w:rPr>
  </w:style>
  <w:style w:type="paragraph" w:customStyle="1" w:styleId="NormalnyWyjustowany">
    <w:name w:val="Normalny + Wyjustowany"/>
    <w:basedOn w:val="Normalny"/>
    <w:pPr>
      <w:tabs>
        <w:tab w:val="left" w:pos="852"/>
      </w:tabs>
      <w:overflowPunct w:val="0"/>
      <w:autoSpaceDE w:val="0"/>
      <w:ind w:left="426" w:hanging="426"/>
      <w:jc w:val="both"/>
    </w:pPr>
    <w:rPr>
      <w:sz w:val="20"/>
      <w:szCs w:val="20"/>
    </w:rPr>
  </w:style>
  <w:style w:type="paragraph" w:styleId="Stopka">
    <w:name w:val="footer"/>
    <w:basedOn w:val="Normalny"/>
    <w:pPr>
      <w:tabs>
        <w:tab w:val="center" w:pos="4536"/>
        <w:tab w:val="right" w:pos="9072"/>
      </w:tabs>
    </w:pPr>
  </w:style>
  <w:style w:type="paragraph" w:styleId="Tekstprzypisukocowego">
    <w:name w:val="endnote text"/>
    <w:basedOn w:val="Normalny"/>
    <w:rPr>
      <w:sz w:val="20"/>
      <w:szCs w:val="20"/>
    </w:rPr>
  </w:style>
  <w:style w:type="paragraph" w:customStyle="1" w:styleId="Zawartoramki">
    <w:name w:val="Zawartość ramki"/>
    <w:basedOn w:val="Tekstpodstawowy"/>
  </w:style>
  <w:style w:type="paragraph" w:customStyle="1" w:styleId="Styl1">
    <w:name w:val="Styl1"/>
    <w:basedOn w:val="Normalny"/>
    <w:pPr>
      <w:pBdr>
        <w:top w:val="single" w:sz="4" w:space="1" w:color="000000"/>
      </w:pBdr>
    </w:pPr>
  </w:style>
  <w:style w:type="paragraph" w:styleId="Akapitzlist">
    <w:name w:val="List Paragraph"/>
    <w:aliases w:val="punktor kreska,Normal,Wypunktowanie"/>
    <w:basedOn w:val="Normalny1"/>
    <w:link w:val="AkapitzlistZnak"/>
    <w:uiPriority w:val="34"/>
    <w:qFormat/>
    <w:pPr>
      <w:ind w:left="720"/>
    </w:pPr>
    <w:rPr>
      <w:szCs w:val="21"/>
    </w:rPr>
  </w:style>
  <w:style w:type="paragraph" w:styleId="NormalnyWeb">
    <w:name w:val="Normal (Web)"/>
    <w:basedOn w:val="Normalny1"/>
    <w:pPr>
      <w:widowControl/>
      <w:suppressAutoHyphens w:val="0"/>
      <w:spacing w:before="100" w:after="100"/>
      <w:textAlignment w:val="auto"/>
    </w:pPr>
    <w:rPr>
      <w:rFonts w:ascii="Times New Roman" w:eastAsia="Times New Roman" w:hAnsi="Times New Roman" w:cs="Times New Roman"/>
      <w:kern w:val="0"/>
      <w:lang w:eastAsia="pl-PL" w:bidi="ar-SA"/>
    </w:rPr>
  </w:style>
  <w:style w:type="paragraph" w:styleId="Nagwek">
    <w:name w:val="header"/>
    <w:basedOn w:val="Normalny"/>
    <w:pPr>
      <w:suppressLineNumbers/>
      <w:tabs>
        <w:tab w:val="center" w:pos="4819"/>
        <w:tab w:val="right" w:pos="9638"/>
      </w:tabs>
    </w:pPr>
  </w:style>
  <w:style w:type="paragraph" w:customStyle="1" w:styleId="Zawartotabeli">
    <w:name w:val="Zawartość tabeli"/>
    <w:basedOn w:val="Normalny"/>
    <w:pPr>
      <w:suppressLineNumbers/>
    </w:pPr>
  </w:style>
  <w:style w:type="character" w:styleId="Uwydatnienie">
    <w:name w:val="Emphasis"/>
    <w:qFormat/>
    <w:rsid w:val="00824066"/>
    <w:rPr>
      <w:i/>
      <w:iCs/>
    </w:rPr>
  </w:style>
  <w:style w:type="paragraph" w:customStyle="1" w:styleId="Standard">
    <w:name w:val="Standard"/>
    <w:rsid w:val="004E4072"/>
    <w:pPr>
      <w:suppressAutoHyphens/>
      <w:autoSpaceDN w:val="0"/>
      <w:textAlignment w:val="baseline"/>
    </w:pPr>
    <w:rPr>
      <w:kern w:val="3"/>
      <w:sz w:val="24"/>
      <w:szCs w:val="24"/>
      <w:lang w:eastAsia="zh-CN"/>
    </w:rPr>
  </w:style>
  <w:style w:type="numbering" w:customStyle="1" w:styleId="WW8Num4">
    <w:name w:val="WW8Num4"/>
    <w:basedOn w:val="Bezlisty"/>
    <w:rsid w:val="004E4072"/>
    <w:pPr>
      <w:numPr>
        <w:numId w:val="7"/>
      </w:numPr>
    </w:pPr>
  </w:style>
  <w:style w:type="character" w:customStyle="1" w:styleId="Nagwek1Znak">
    <w:name w:val="Nagłówek 1 Znak"/>
    <w:link w:val="Nagwek1"/>
    <w:uiPriority w:val="9"/>
    <w:rsid w:val="00C07549"/>
    <w:rPr>
      <w:rFonts w:ascii="Calibri Light" w:hAnsi="Calibri Light" w:cs="Mangal"/>
      <w:color w:val="2E74B5"/>
      <w:kern w:val="3"/>
      <w:sz w:val="32"/>
      <w:szCs w:val="29"/>
      <w:lang w:eastAsia="zh-CN" w:bidi="hi-IN"/>
    </w:rPr>
  </w:style>
  <w:style w:type="paragraph" w:customStyle="1" w:styleId="Heading">
    <w:name w:val="Heading"/>
    <w:basedOn w:val="Standard"/>
    <w:rsid w:val="00C07549"/>
    <w:pPr>
      <w:tabs>
        <w:tab w:val="center" w:pos="4536"/>
        <w:tab w:val="right" w:pos="9072"/>
      </w:tabs>
    </w:pPr>
  </w:style>
  <w:style w:type="paragraph" w:customStyle="1" w:styleId="Textbody">
    <w:name w:val="Text body"/>
    <w:basedOn w:val="Standard"/>
    <w:rsid w:val="00C07549"/>
    <w:pPr>
      <w:spacing w:after="120"/>
    </w:pPr>
  </w:style>
  <w:style w:type="paragraph" w:styleId="Legenda">
    <w:name w:val="caption"/>
    <w:basedOn w:val="Standard"/>
    <w:rsid w:val="00C07549"/>
    <w:pPr>
      <w:suppressLineNumbers/>
      <w:spacing w:before="120" w:after="120"/>
    </w:pPr>
    <w:rPr>
      <w:rFonts w:cs="Mangal"/>
      <w:i/>
      <w:iCs/>
    </w:rPr>
  </w:style>
  <w:style w:type="paragraph" w:customStyle="1" w:styleId="Index">
    <w:name w:val="Index"/>
    <w:basedOn w:val="Standard"/>
    <w:rsid w:val="00C07549"/>
    <w:pPr>
      <w:suppressLineNumbers/>
    </w:pPr>
    <w:rPr>
      <w:rFonts w:cs="Tahoma"/>
    </w:rPr>
  </w:style>
  <w:style w:type="paragraph" w:styleId="Tekstpodstawowy2">
    <w:name w:val="Body Text 2"/>
    <w:basedOn w:val="Standard"/>
    <w:link w:val="Tekstpodstawowy2Znak"/>
    <w:rsid w:val="00C07549"/>
    <w:pPr>
      <w:overflowPunct w:val="0"/>
      <w:autoSpaceDE w:val="0"/>
      <w:ind w:left="284" w:hanging="284"/>
      <w:jc w:val="both"/>
    </w:pPr>
    <w:rPr>
      <w:sz w:val="28"/>
      <w:szCs w:val="20"/>
    </w:rPr>
  </w:style>
  <w:style w:type="character" w:customStyle="1" w:styleId="Tekstpodstawowy2Znak">
    <w:name w:val="Tekst podstawowy 2 Znak"/>
    <w:link w:val="Tekstpodstawowy2"/>
    <w:rsid w:val="00C07549"/>
    <w:rPr>
      <w:kern w:val="3"/>
      <w:sz w:val="28"/>
      <w:lang w:eastAsia="zh-CN"/>
    </w:rPr>
  </w:style>
  <w:style w:type="paragraph" w:customStyle="1" w:styleId="Endnote">
    <w:name w:val="Endnote"/>
    <w:basedOn w:val="Standard"/>
    <w:rsid w:val="00C07549"/>
    <w:rPr>
      <w:sz w:val="20"/>
      <w:szCs w:val="20"/>
    </w:rPr>
  </w:style>
  <w:style w:type="paragraph" w:customStyle="1" w:styleId="Framecontents">
    <w:name w:val="Frame contents"/>
    <w:basedOn w:val="Textbody"/>
    <w:rsid w:val="00C07549"/>
  </w:style>
  <w:style w:type="character" w:styleId="Numerstrony">
    <w:name w:val="page number"/>
    <w:basedOn w:val="Domylnaczcionkaakapitu1"/>
    <w:rsid w:val="00C07549"/>
  </w:style>
  <w:style w:type="character" w:customStyle="1" w:styleId="EndnoteSymbol">
    <w:name w:val="Endnote Symbol"/>
    <w:rsid w:val="00C07549"/>
    <w:rPr>
      <w:position w:val="0"/>
      <w:vertAlign w:val="superscript"/>
    </w:rPr>
  </w:style>
  <w:style w:type="character" w:customStyle="1" w:styleId="NumberingSymbols">
    <w:name w:val="Numbering Symbols"/>
    <w:rsid w:val="00C07549"/>
  </w:style>
  <w:style w:type="character" w:customStyle="1" w:styleId="TekstprzypisukocowegoZnak">
    <w:name w:val="Tekst przypisu końcowego Znak"/>
    <w:rsid w:val="00C07549"/>
    <w:rPr>
      <w:sz w:val="20"/>
      <w:szCs w:val="18"/>
    </w:rPr>
  </w:style>
  <w:style w:type="character" w:styleId="Odwoanieprzypisukocowego">
    <w:name w:val="endnote reference"/>
    <w:rsid w:val="00C07549"/>
    <w:rPr>
      <w:position w:val="0"/>
      <w:vertAlign w:val="superscript"/>
    </w:rPr>
  </w:style>
  <w:style w:type="paragraph" w:customStyle="1" w:styleId="Normalny11pt">
    <w:name w:val="Normalny + 11 pt"/>
    <w:basedOn w:val="Standard"/>
    <w:rsid w:val="00C07549"/>
    <w:pPr>
      <w:tabs>
        <w:tab w:val="left" w:pos="1146"/>
        <w:tab w:val="left" w:pos="1440"/>
      </w:tabs>
      <w:overflowPunct w:val="0"/>
      <w:autoSpaceDE w:val="0"/>
      <w:ind w:left="720" w:hanging="360"/>
      <w:jc w:val="both"/>
    </w:pPr>
    <w:rPr>
      <w:sz w:val="22"/>
      <w:szCs w:val="22"/>
    </w:rPr>
  </w:style>
  <w:style w:type="character" w:styleId="Pogrubienie">
    <w:name w:val="Strong"/>
    <w:rsid w:val="00C07549"/>
    <w:rPr>
      <w:b/>
      <w:bCs/>
    </w:rPr>
  </w:style>
  <w:style w:type="paragraph" w:customStyle="1" w:styleId="western">
    <w:name w:val="western"/>
    <w:basedOn w:val="Normalny"/>
    <w:rsid w:val="00C07549"/>
    <w:pPr>
      <w:pBdr>
        <w:top w:val="none" w:sz="0" w:space="0" w:color="auto"/>
        <w:left w:val="none" w:sz="0" w:space="0" w:color="auto"/>
        <w:bottom w:val="none" w:sz="0" w:space="0" w:color="auto"/>
        <w:right w:val="none" w:sz="0" w:space="0" w:color="auto"/>
      </w:pBdr>
      <w:suppressAutoHyphens w:val="0"/>
      <w:autoSpaceDN w:val="0"/>
      <w:spacing w:before="100" w:after="119"/>
      <w:textAlignment w:val="auto"/>
    </w:pPr>
    <w:rPr>
      <w:kern w:val="0"/>
      <w:lang w:eastAsia="pl-PL"/>
    </w:rPr>
  </w:style>
  <w:style w:type="table" w:styleId="Tabela-Siatka">
    <w:name w:val="Table Grid"/>
    <w:basedOn w:val="Standardowy"/>
    <w:uiPriority w:val="39"/>
    <w:rsid w:val="00C0754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
    <w:name w:val="WW8Num5"/>
    <w:basedOn w:val="Bezlisty"/>
    <w:rsid w:val="00C07549"/>
    <w:pPr>
      <w:numPr>
        <w:numId w:val="9"/>
      </w:numPr>
    </w:pPr>
  </w:style>
  <w:style w:type="numbering" w:customStyle="1" w:styleId="WW8Num43">
    <w:name w:val="WW8Num43"/>
    <w:basedOn w:val="Bezlisty"/>
    <w:rsid w:val="00C07549"/>
    <w:pPr>
      <w:numPr>
        <w:numId w:val="10"/>
      </w:numPr>
    </w:pPr>
  </w:style>
  <w:style w:type="numbering" w:customStyle="1" w:styleId="WW8Num42">
    <w:name w:val="WW8Num42"/>
    <w:basedOn w:val="Bezlisty"/>
    <w:rsid w:val="00C07549"/>
    <w:pPr>
      <w:numPr>
        <w:numId w:val="11"/>
      </w:numPr>
    </w:pPr>
  </w:style>
  <w:style w:type="numbering" w:customStyle="1" w:styleId="WW8Num41">
    <w:name w:val="WW8Num41"/>
    <w:basedOn w:val="Bezlisty"/>
    <w:rsid w:val="00C07549"/>
    <w:pPr>
      <w:numPr>
        <w:numId w:val="12"/>
      </w:numPr>
    </w:pPr>
  </w:style>
  <w:style w:type="numbering" w:customStyle="1" w:styleId="WW8Num32">
    <w:name w:val="WW8Num32"/>
    <w:basedOn w:val="Bezlisty"/>
    <w:rsid w:val="00C07549"/>
    <w:pPr>
      <w:numPr>
        <w:numId w:val="13"/>
      </w:numPr>
    </w:pPr>
  </w:style>
  <w:style w:type="numbering" w:customStyle="1" w:styleId="WW8Num31">
    <w:name w:val="WW8Num31"/>
    <w:basedOn w:val="Bezlisty"/>
    <w:rsid w:val="00C07549"/>
    <w:pPr>
      <w:numPr>
        <w:numId w:val="14"/>
      </w:numPr>
    </w:pPr>
  </w:style>
  <w:style w:type="numbering" w:customStyle="1" w:styleId="WW8Num1">
    <w:name w:val="WW8Num1"/>
    <w:basedOn w:val="Bezlisty"/>
    <w:rsid w:val="00C07549"/>
    <w:pPr>
      <w:numPr>
        <w:numId w:val="15"/>
      </w:numPr>
    </w:pPr>
  </w:style>
  <w:style w:type="numbering" w:customStyle="1" w:styleId="WW8Num2">
    <w:name w:val="WW8Num2"/>
    <w:basedOn w:val="Bezlisty"/>
    <w:rsid w:val="00C07549"/>
    <w:pPr>
      <w:numPr>
        <w:numId w:val="16"/>
      </w:numPr>
    </w:pPr>
  </w:style>
  <w:style w:type="numbering" w:customStyle="1" w:styleId="WW8Num3">
    <w:name w:val="WW8Num3"/>
    <w:basedOn w:val="Bezlisty"/>
    <w:rsid w:val="00C07549"/>
    <w:pPr>
      <w:numPr>
        <w:numId w:val="17"/>
      </w:numPr>
    </w:pPr>
  </w:style>
  <w:style w:type="character" w:customStyle="1" w:styleId="AkapitzlistZnak">
    <w:name w:val="Akapit z listą Znak"/>
    <w:aliases w:val="punktor kreska Znak,Normal Znak1,Wypunktowanie Znak"/>
    <w:link w:val="Akapitzlist"/>
    <w:uiPriority w:val="34"/>
    <w:qFormat/>
    <w:rsid w:val="00320BF0"/>
    <w:rPr>
      <w:rFonts w:ascii="Liberation Serif" w:eastAsia="Lucida Sans Unicode" w:hAnsi="Liberation Serif" w:cs="Mangal"/>
      <w:kern w:val="1"/>
      <w:sz w:val="24"/>
      <w:szCs w:val="21"/>
      <w:lang w:eastAsia="zh-CN" w:bidi="hi-IN"/>
    </w:rPr>
  </w:style>
  <w:style w:type="paragraph" w:customStyle="1" w:styleId="GPPOPIS">
    <w:name w:val="GPP_OPIS"/>
    <w:basedOn w:val="Normalny"/>
    <w:qFormat/>
    <w:rsid w:val="00320BF0"/>
    <w:pPr>
      <w:pBdr>
        <w:top w:val="none" w:sz="0" w:space="0" w:color="auto"/>
        <w:left w:val="none" w:sz="0" w:space="0" w:color="auto"/>
        <w:bottom w:val="none" w:sz="0" w:space="0" w:color="auto"/>
        <w:right w:val="none" w:sz="0" w:space="0" w:color="auto"/>
      </w:pBdr>
      <w:suppressAutoHyphens w:val="0"/>
      <w:spacing w:after="80"/>
      <w:ind w:left="567"/>
      <w:textAlignment w:val="auto"/>
    </w:pPr>
    <w:rPr>
      <w:rFonts w:ascii="Calibri" w:eastAsia="Calibri" w:hAnsi="Calibri" w:cs="Calibri"/>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877591">
      <w:bodyDiv w:val="1"/>
      <w:marLeft w:val="0"/>
      <w:marRight w:val="0"/>
      <w:marTop w:val="0"/>
      <w:marBottom w:val="0"/>
      <w:divBdr>
        <w:top w:val="none" w:sz="0" w:space="0" w:color="auto"/>
        <w:left w:val="none" w:sz="0" w:space="0" w:color="auto"/>
        <w:bottom w:val="none" w:sz="0" w:space="0" w:color="auto"/>
        <w:right w:val="none" w:sz="0" w:space="0" w:color="auto"/>
      </w:divBdr>
    </w:div>
    <w:div w:id="209469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7A03DB-CAFA-42D7-8801-3E114FE0C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14096</Words>
  <Characters>84579</Characters>
  <Application>Microsoft Office Word</Application>
  <DocSecurity>0</DocSecurity>
  <Lines>704</Lines>
  <Paragraphs>196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mklos</dc:creator>
  <cp:lastModifiedBy>Marcin Ciechomski</cp:lastModifiedBy>
  <cp:revision>2</cp:revision>
  <cp:lastPrinted>2022-12-01T09:43:00Z</cp:lastPrinted>
  <dcterms:created xsi:type="dcterms:W3CDTF">2022-12-07T14:34:00Z</dcterms:created>
  <dcterms:modified xsi:type="dcterms:W3CDTF">2022-12-07T14:34:00Z</dcterms:modified>
</cp:coreProperties>
</file>