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C789C" w:rsidRPr="002F583D" w:rsidRDefault="00BC789C" w:rsidP="00BC789C">
      <w:pPr>
        <w:ind w:left="-142" w:firstLine="550"/>
        <w:rPr>
          <w:rFonts w:ascii="Arial Narrow" w:hAnsi="Arial Narrow"/>
          <w:b/>
          <w:bCs/>
          <w:sz w:val="24"/>
          <w:szCs w:val="24"/>
        </w:rPr>
      </w:pPr>
      <w:bookmarkStart w:id="0" w:name="_GoBack"/>
      <w:bookmarkEnd w:id="0"/>
      <w:r w:rsidRPr="002F583D">
        <w:rPr>
          <w:rFonts w:ascii="Arial Narrow" w:hAnsi="Arial Narrow"/>
          <w:b/>
          <w:sz w:val="24"/>
          <w:szCs w:val="24"/>
        </w:rPr>
        <w:t>STAROSTA PIASECZYŃSKI</w:t>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t xml:space="preserve">      </w:t>
      </w:r>
      <w:r w:rsidRPr="002F583D">
        <w:rPr>
          <w:rFonts w:ascii="Arial Narrow" w:hAnsi="Arial Narrow"/>
          <w:sz w:val="24"/>
          <w:szCs w:val="24"/>
        </w:rPr>
        <w:br/>
        <w:t>ul. Chyliczkowska 14, 05-500 Piaseczno</w:t>
      </w:r>
      <w:r w:rsidRPr="002F583D">
        <w:rPr>
          <w:rFonts w:ascii="Arial Narrow" w:hAnsi="Arial Narrow"/>
          <w:sz w:val="24"/>
          <w:szCs w:val="24"/>
        </w:rPr>
        <w:br/>
        <w:t>tel. (22) 756-</w:t>
      </w:r>
      <w:r w:rsidR="008B6C69">
        <w:rPr>
          <w:rFonts w:ascii="Arial Narrow" w:hAnsi="Arial Narrow"/>
          <w:sz w:val="24"/>
          <w:szCs w:val="24"/>
        </w:rPr>
        <w:t>62-20</w:t>
      </w:r>
      <w:r w:rsidRPr="002F583D">
        <w:rPr>
          <w:rFonts w:ascii="Arial Narrow" w:hAnsi="Arial Narrow"/>
          <w:sz w:val="24"/>
          <w:szCs w:val="24"/>
        </w:rPr>
        <w:t>, fax. (22) 737-11-58</w:t>
      </w:r>
      <w:r w:rsidRPr="002F583D">
        <w:rPr>
          <w:rFonts w:ascii="Arial Narrow" w:hAnsi="Arial Narrow"/>
          <w:sz w:val="24"/>
          <w:szCs w:val="24"/>
        </w:rPr>
        <w:tab/>
      </w:r>
      <w:r w:rsidRPr="002F583D">
        <w:rPr>
          <w:rFonts w:ascii="Arial Narrow" w:hAnsi="Arial Narrow"/>
          <w:sz w:val="24"/>
          <w:szCs w:val="24"/>
        </w:rPr>
        <w:tab/>
      </w:r>
    </w:p>
    <w:p w:rsidR="00BC789C" w:rsidRPr="0069377E" w:rsidRDefault="00BC789C" w:rsidP="00BC789C">
      <w:pPr>
        <w:rPr>
          <w:rFonts w:ascii="Arial Narrow" w:hAnsi="Arial Narrow"/>
          <w:sz w:val="16"/>
          <w:szCs w:val="16"/>
        </w:rPr>
      </w:pPr>
    </w:p>
    <w:p w:rsidR="00F15318" w:rsidRPr="002F583D" w:rsidRDefault="00476B05" w:rsidP="00476B05">
      <w:pPr>
        <w:jc w:val="right"/>
        <w:rPr>
          <w:b/>
          <w:sz w:val="24"/>
          <w:szCs w:val="24"/>
        </w:rPr>
      </w:pPr>
      <w:r w:rsidRPr="002F583D">
        <w:rPr>
          <w:rFonts w:ascii="Arial Narrow" w:hAnsi="Arial Narrow"/>
          <w:sz w:val="24"/>
          <w:szCs w:val="24"/>
        </w:rPr>
        <w:t xml:space="preserve">Piaseczno, dnia </w:t>
      </w:r>
      <w:r w:rsidR="00F0172C">
        <w:rPr>
          <w:rFonts w:ascii="Arial Narrow" w:hAnsi="Arial Narrow"/>
          <w:sz w:val="24"/>
          <w:szCs w:val="24"/>
        </w:rPr>
        <w:t>21 lipca 2021 r.</w:t>
      </w:r>
      <w:r w:rsidRPr="002F583D">
        <w:rPr>
          <w:rFonts w:ascii="Arial Narrow" w:hAnsi="Arial Narrow"/>
          <w:sz w:val="24"/>
          <w:szCs w:val="24"/>
        </w:rPr>
        <w:t xml:space="preserve">  </w:t>
      </w:r>
    </w:p>
    <w:p w:rsidR="00476B05" w:rsidRPr="0069377E" w:rsidRDefault="00476B05">
      <w:pPr>
        <w:rPr>
          <w:b/>
          <w:sz w:val="16"/>
          <w:szCs w:val="16"/>
        </w:rPr>
      </w:pPr>
    </w:p>
    <w:p w:rsidR="00A15652" w:rsidRPr="002F583D" w:rsidRDefault="00A15652">
      <w:pPr>
        <w:rPr>
          <w:rFonts w:ascii="Arial Narrow" w:hAnsi="Arial Narrow"/>
          <w:b/>
          <w:sz w:val="24"/>
          <w:szCs w:val="24"/>
        </w:rPr>
      </w:pPr>
      <w:r w:rsidRPr="002F583D">
        <w:rPr>
          <w:rFonts w:ascii="Arial Narrow" w:hAnsi="Arial Narrow"/>
          <w:b/>
          <w:sz w:val="24"/>
          <w:szCs w:val="24"/>
        </w:rPr>
        <w:t xml:space="preserve"> WGM.683.6.79.2016.KK</w:t>
      </w:r>
      <w:r w:rsidR="00F0172C">
        <w:rPr>
          <w:rFonts w:ascii="Arial Narrow" w:hAnsi="Arial Narrow"/>
          <w:b/>
          <w:sz w:val="24"/>
          <w:szCs w:val="24"/>
        </w:rPr>
        <w:t>/AO</w:t>
      </w:r>
      <w:r w:rsidRPr="002F583D">
        <w:rPr>
          <w:rFonts w:ascii="Arial Narrow" w:hAnsi="Arial Narrow"/>
          <w:b/>
          <w:sz w:val="24"/>
          <w:szCs w:val="24"/>
        </w:rPr>
        <w:t xml:space="preserve"> </w:t>
      </w:r>
    </w:p>
    <w:p w:rsidR="00F15318" w:rsidRDefault="00CD51A2" w:rsidP="005C3FF6">
      <w:pPr>
        <w:rPr>
          <w:rFonts w:ascii="Arial Narrow" w:hAnsi="Arial Narrow"/>
          <w:b/>
          <w:sz w:val="24"/>
          <w:szCs w:val="24"/>
        </w:rPr>
      </w:pPr>
      <w:r>
        <w:rPr>
          <w:rFonts w:ascii="Arial Narrow" w:hAnsi="Arial Narrow"/>
          <w:b/>
          <w:sz w:val="24"/>
          <w:szCs w:val="24"/>
        </w:rPr>
        <w:t xml:space="preserve">  </w:t>
      </w:r>
    </w:p>
    <w:p w:rsidR="00F0172C" w:rsidRPr="00F0172C" w:rsidRDefault="00F0172C" w:rsidP="00F0172C">
      <w:pPr>
        <w:pStyle w:val="NormalnyWeb"/>
        <w:spacing w:before="0" w:after="0"/>
        <w:rPr>
          <w:b/>
          <w:bCs/>
          <w:sz w:val="16"/>
          <w:szCs w:val="16"/>
        </w:rPr>
      </w:pPr>
    </w:p>
    <w:p w:rsidR="00F0172C" w:rsidRPr="00F0172C" w:rsidRDefault="00F0172C" w:rsidP="00F0172C">
      <w:pPr>
        <w:pStyle w:val="NormalnyWeb"/>
        <w:spacing w:before="0" w:after="0"/>
        <w:contextualSpacing/>
        <w:jc w:val="center"/>
        <w:rPr>
          <w:sz w:val="28"/>
          <w:szCs w:val="28"/>
        </w:rPr>
      </w:pPr>
      <w:r w:rsidRPr="00F0172C">
        <w:rPr>
          <w:b/>
          <w:bCs/>
          <w:sz w:val="28"/>
          <w:szCs w:val="28"/>
        </w:rPr>
        <w:t>DECYZJA</w:t>
      </w:r>
    </w:p>
    <w:p w:rsidR="00F0172C" w:rsidRPr="00F0172C" w:rsidRDefault="00F0172C" w:rsidP="00F0172C">
      <w:pPr>
        <w:pStyle w:val="NormalnyWeb"/>
        <w:spacing w:before="0" w:after="0"/>
        <w:contextualSpacing/>
        <w:jc w:val="center"/>
        <w:rPr>
          <w:sz w:val="28"/>
          <w:szCs w:val="28"/>
        </w:rPr>
      </w:pPr>
      <w:r w:rsidRPr="00F0172C">
        <w:rPr>
          <w:b/>
          <w:bCs/>
          <w:sz w:val="28"/>
          <w:szCs w:val="28"/>
        </w:rPr>
        <w:t xml:space="preserve">Nr </w:t>
      </w:r>
      <w:r w:rsidR="00525B34">
        <w:rPr>
          <w:b/>
          <w:bCs/>
          <w:sz w:val="28"/>
          <w:szCs w:val="28"/>
        </w:rPr>
        <w:t>272</w:t>
      </w:r>
      <w:r w:rsidRPr="00F0172C">
        <w:rPr>
          <w:b/>
          <w:bCs/>
          <w:sz w:val="28"/>
          <w:szCs w:val="28"/>
        </w:rPr>
        <w:t>/2021</w:t>
      </w:r>
    </w:p>
    <w:p w:rsidR="00F0172C" w:rsidRPr="00F0172C" w:rsidRDefault="00F0172C" w:rsidP="00F0172C">
      <w:pPr>
        <w:pStyle w:val="NormalnyWeb"/>
        <w:spacing w:before="0" w:after="0"/>
        <w:rPr>
          <w:sz w:val="48"/>
          <w:szCs w:val="48"/>
        </w:rPr>
      </w:pPr>
    </w:p>
    <w:p w:rsidR="00F0172C" w:rsidRDefault="00F0172C" w:rsidP="00F0172C">
      <w:pPr>
        <w:pStyle w:val="NormalnyWeb"/>
        <w:spacing w:before="0" w:after="0"/>
        <w:ind w:firstLine="369"/>
        <w:jc w:val="both"/>
      </w:pPr>
      <w:r>
        <w:t xml:space="preserve">Na podstawie art. 12 ust. 4a, 4f i 5, art. 18 i art. 23 ustawy z dnia 10 kwietnia 2003 r.              o szczególnych zasadach przygotowania i realizacji inwestycji w zakresie dróg publicznych (tekst jedn.: Dz.U. z 2020 r., poz. 1363 ze zm.), art. 130 ust. 2, art. 132 ust. 1a i 5 ustawy          z dnia 21 sierpnia 1997 r. o gospodarce nieruchomościami (tekst jedn.: Dz.U. z 2020 r.,       poz. 1990 ze zm.) oraz na podstawie art. 104 § 1 ustawy z dnia 14 czerwca 1960 r. Kodeks postępowania administracyjnego (tekst jedn.: Dz.U. z 2021 r., poz. 735), w związku z decyzją Starosty Piaseczyńskiego nr 12/2015 z dnia 29 października 2015 r. o zezwoleniu                  na realizację inwestycji drogowej dla inwestycji: </w:t>
      </w:r>
      <w:r>
        <w:rPr>
          <w:i/>
          <w:iCs/>
        </w:rPr>
        <w:t>rozbudowa drogi gminnej ul. Gawarskiego na odc. od ul. Warszawskiej do ul. Błońskiej oraz skrzyżowań z drogami gminnymi                ul. Modrzewiową i ul. Dębową wraz z przebudową wlotu do drogi powiatowej ul. Błońskiej wraz z kanalizacją deszczową, przebudową sieci telekomunikacyjnej, przebudową oświetlenia oraz budową zjazdów</w:t>
      </w:r>
      <w:r>
        <w:t xml:space="preserve">, </w:t>
      </w:r>
    </w:p>
    <w:p w:rsidR="00F0172C" w:rsidRPr="00F0172C" w:rsidRDefault="00F0172C" w:rsidP="00F0172C">
      <w:pPr>
        <w:pStyle w:val="NormalnyWeb"/>
        <w:spacing w:before="0" w:after="0"/>
        <w:ind w:firstLine="369"/>
        <w:jc w:val="both"/>
        <w:rPr>
          <w:sz w:val="18"/>
          <w:szCs w:val="18"/>
        </w:rPr>
      </w:pPr>
    </w:p>
    <w:p w:rsidR="00F0172C" w:rsidRDefault="00F0172C" w:rsidP="00F0172C">
      <w:pPr>
        <w:pStyle w:val="NormalnyWeb"/>
        <w:spacing w:before="0" w:after="0"/>
        <w:jc w:val="center"/>
      </w:pPr>
      <w:r>
        <w:rPr>
          <w:b/>
          <w:bCs/>
        </w:rPr>
        <w:t>orzekam o:</w:t>
      </w:r>
    </w:p>
    <w:p w:rsidR="00F0172C" w:rsidRPr="00F0172C" w:rsidRDefault="00F0172C" w:rsidP="00F0172C">
      <w:pPr>
        <w:pStyle w:val="NormalnyWeb"/>
        <w:spacing w:before="0" w:after="0"/>
        <w:jc w:val="both"/>
        <w:rPr>
          <w:sz w:val="20"/>
          <w:szCs w:val="20"/>
        </w:rPr>
      </w:pPr>
    </w:p>
    <w:p w:rsidR="00F0172C" w:rsidRDefault="00F0172C" w:rsidP="00F0172C">
      <w:pPr>
        <w:pStyle w:val="NormalnyWeb"/>
        <w:numPr>
          <w:ilvl w:val="0"/>
          <w:numId w:val="3"/>
        </w:numPr>
        <w:spacing w:before="0" w:after="0"/>
        <w:jc w:val="both"/>
      </w:pPr>
      <w:r>
        <w:t xml:space="preserve">ustaleniu odszkodowania za prawo własności </w:t>
      </w:r>
      <w:r>
        <w:rPr>
          <w:b/>
          <w:bCs/>
        </w:rPr>
        <w:t>3/72</w:t>
      </w:r>
      <w:r>
        <w:t xml:space="preserve"> części nieruchomości położonej w </w:t>
      </w:r>
      <w:r>
        <w:rPr>
          <w:b/>
          <w:bCs/>
        </w:rPr>
        <w:t>obr. Tarczyn</w:t>
      </w:r>
      <w:r>
        <w:t>,</w:t>
      </w:r>
      <w:r>
        <w:rPr>
          <w:b/>
          <w:bCs/>
        </w:rPr>
        <w:t xml:space="preserve"> </w:t>
      </w:r>
      <w:r>
        <w:t xml:space="preserve">stanowiącej działkę ewid. nr </w:t>
      </w:r>
      <w:r>
        <w:rPr>
          <w:b/>
          <w:bCs/>
        </w:rPr>
        <w:t>404/1</w:t>
      </w:r>
      <w:r>
        <w:t xml:space="preserve"> o pow. </w:t>
      </w:r>
      <w:r>
        <w:rPr>
          <w:b/>
          <w:bCs/>
        </w:rPr>
        <w:t>0,0117 ha</w:t>
      </w:r>
      <w:r>
        <w:t xml:space="preserve">, na rzecz </w:t>
      </w:r>
      <w:r>
        <w:rPr>
          <w:b/>
          <w:bCs/>
        </w:rPr>
        <w:t>Funduszu Powierniczego Krusiewicz Family Trust z siedzibą w stanie Kalifornia, USA,</w:t>
      </w:r>
      <w:r>
        <w:t xml:space="preserve"> w kwocie </w:t>
      </w:r>
      <w:r>
        <w:rPr>
          <w:b/>
          <w:bCs/>
        </w:rPr>
        <w:t xml:space="preserve">512,33 zł </w:t>
      </w:r>
      <w:r>
        <w:t>(słownie: pięćset dwanaście złotych 33/100),</w:t>
      </w:r>
    </w:p>
    <w:p w:rsidR="00F0172C" w:rsidRDefault="00F0172C" w:rsidP="00F0172C">
      <w:pPr>
        <w:pStyle w:val="NormalnyWeb"/>
        <w:numPr>
          <w:ilvl w:val="0"/>
          <w:numId w:val="3"/>
        </w:numPr>
        <w:spacing w:before="0" w:after="0"/>
        <w:jc w:val="both"/>
      </w:pPr>
      <w:r>
        <w:t xml:space="preserve">zobowiązaniu Gminy Tarczyn do złożenia do depozytu sądowego odszkodowania ustalonego w pkt </w:t>
      </w:r>
      <w:r>
        <w:rPr>
          <w:b/>
          <w:bCs/>
        </w:rPr>
        <w:t>I</w:t>
      </w:r>
      <w:r>
        <w:t xml:space="preserve"> – na okres 10 lat, w terminie 14 dni od dnia, w którym niniejsza decyzja stała się ostateczna.</w:t>
      </w:r>
    </w:p>
    <w:p w:rsidR="00F0172C" w:rsidRPr="00F0172C" w:rsidRDefault="00F0172C" w:rsidP="00F0172C">
      <w:pPr>
        <w:pStyle w:val="NormalnyWeb"/>
        <w:spacing w:before="0" w:after="0"/>
        <w:ind w:left="720"/>
        <w:jc w:val="both"/>
        <w:rPr>
          <w:sz w:val="22"/>
          <w:szCs w:val="22"/>
        </w:rPr>
      </w:pPr>
    </w:p>
    <w:p w:rsidR="00F0172C" w:rsidRDefault="00F0172C" w:rsidP="00F0172C">
      <w:pPr>
        <w:pStyle w:val="Nagwek2"/>
        <w:rPr>
          <w:szCs w:val="28"/>
        </w:rPr>
      </w:pPr>
      <w:r>
        <w:rPr>
          <w:sz w:val="24"/>
          <w:szCs w:val="24"/>
        </w:rPr>
        <w:t>UZASADNIENIE</w:t>
      </w:r>
    </w:p>
    <w:p w:rsidR="00F0172C" w:rsidRPr="00F0172C" w:rsidRDefault="00F0172C" w:rsidP="00F0172C">
      <w:pPr>
        <w:pStyle w:val="western"/>
        <w:spacing w:before="0" w:beforeAutospacing="0"/>
        <w:rPr>
          <w:sz w:val="24"/>
          <w:szCs w:val="24"/>
        </w:rPr>
      </w:pPr>
    </w:p>
    <w:p w:rsidR="00F0172C" w:rsidRDefault="00F0172C" w:rsidP="00F0172C">
      <w:pPr>
        <w:pStyle w:val="NormalnyWeb"/>
        <w:spacing w:before="0" w:after="0"/>
        <w:ind w:firstLine="369"/>
        <w:jc w:val="both"/>
      </w:pPr>
      <w:r>
        <w:t xml:space="preserve">W dniu 26 czerwca 2017 r. Starosta Piaseczyński wydał decyzję nr 160/2017 o ustaleniu odszkodowania za 3/72 części działki ewid. nr 404/1, obr. Tarczyn. Na skutek odwołania         z dnia 7 lipca 2017 r., wniesionego przez Gminę Tarczyn, Wojewoda Mazowiecki decyzją     nr 1122/2019, wydaną w dniu 20 marca 2019 r., uchylił zaskarżoną decyzję Starosty Piaseczyńskiego i przekazał sprawę do ponownego rozpatrzenia przez organ I instancji, wskazując m.in. na konieczność sporządzenia nowej wyceny nieruchomości. </w:t>
      </w:r>
    </w:p>
    <w:p w:rsidR="00F0172C" w:rsidRPr="00F0172C" w:rsidRDefault="00F0172C" w:rsidP="00F0172C">
      <w:pPr>
        <w:pStyle w:val="NormalnyWeb"/>
        <w:spacing w:before="0" w:after="0"/>
        <w:jc w:val="both"/>
        <w:rPr>
          <w:sz w:val="10"/>
          <w:szCs w:val="10"/>
        </w:rPr>
      </w:pPr>
    </w:p>
    <w:p w:rsidR="00F0172C" w:rsidRDefault="00F0172C" w:rsidP="00F0172C">
      <w:pPr>
        <w:pStyle w:val="NormalnyWeb"/>
        <w:spacing w:before="0" w:after="0"/>
        <w:ind w:firstLine="369"/>
        <w:jc w:val="both"/>
      </w:pPr>
      <w:r>
        <w:rPr>
          <w:b/>
          <w:bCs/>
        </w:rPr>
        <w:t>Prowadząc ponownie postępowanie administracyjne tutejszy organ ustalił                 co następuje:</w:t>
      </w:r>
    </w:p>
    <w:p w:rsidR="00F0172C" w:rsidRPr="00F0172C" w:rsidRDefault="00F0172C" w:rsidP="00F0172C">
      <w:pPr>
        <w:pStyle w:val="NormalnyWeb"/>
        <w:spacing w:before="0" w:after="0"/>
        <w:ind w:firstLine="369"/>
        <w:jc w:val="both"/>
        <w:rPr>
          <w:sz w:val="10"/>
          <w:szCs w:val="10"/>
        </w:rPr>
      </w:pPr>
    </w:p>
    <w:p w:rsidR="00F0172C" w:rsidRDefault="00F0172C" w:rsidP="00F0172C">
      <w:pPr>
        <w:pStyle w:val="NormalnyWeb"/>
        <w:spacing w:before="0" w:after="0"/>
        <w:ind w:firstLine="369"/>
        <w:jc w:val="both"/>
      </w:pPr>
      <w:r>
        <w:t xml:space="preserve">W dniu 29 października 2015 r. Starosta Piaseczyński wydał decyzję nr 12/2015                o zezwoleniu na realizację inwestycji drogowej dla inwestycji: </w:t>
      </w:r>
      <w:r>
        <w:rPr>
          <w:i/>
          <w:iCs/>
        </w:rPr>
        <w:t xml:space="preserve">rozbudowa drogi gminnej       ul. Gawarskiego na odc. od ul. Warszawskiej do ul. Błońskiej oraz skrzyżowań z drogami gminnymi ul. Modrzewiową i ul. Dębową wraz z przebudową wlotu do drogi powiatowej        ul. Błońskiej wraz z kanalizacją deszczową, przebudową sieci telekomunikacyjnej, </w:t>
      </w:r>
      <w:r>
        <w:rPr>
          <w:i/>
          <w:iCs/>
        </w:rPr>
        <w:lastRenderedPageBreak/>
        <w:t>przebudową oświetlenia oraz budową zjazdów</w:t>
      </w:r>
      <w:r>
        <w:t xml:space="preserve"> (zwaną dalej decyzją o </w:t>
      </w:r>
      <w:r>
        <w:rPr>
          <w:i/>
          <w:iCs/>
        </w:rPr>
        <w:t>zrid</w:t>
      </w:r>
      <w:r>
        <w:t xml:space="preserve">). Powyższą decyzją zatwierdzono projekt budowlany, określono nieruchomości objęte inwestycją, zatwierdzono podział nieruchomości na potrzeby ww. inwestycji oraz oznaczono nieruchomości, które stają się własnością Gminy Tarczyn na podstawie decyzji o zezwoleniu na realizację inwestycji drogowej, w tym m.in. działkę ewid. nr 404/1, obr. Tarczyn. Decyzja stała się ostateczna z dniem 1 grudnia 2015 r. </w:t>
      </w:r>
    </w:p>
    <w:p w:rsidR="00F0172C" w:rsidRPr="00F0172C" w:rsidRDefault="00F0172C" w:rsidP="00F0172C">
      <w:pPr>
        <w:pStyle w:val="NormalnyWeb"/>
        <w:spacing w:before="0" w:after="0"/>
        <w:ind w:firstLine="369"/>
        <w:jc w:val="both"/>
        <w:rPr>
          <w:sz w:val="6"/>
          <w:szCs w:val="6"/>
        </w:rPr>
      </w:pPr>
    </w:p>
    <w:p w:rsidR="00F0172C" w:rsidRDefault="00F0172C" w:rsidP="00F0172C">
      <w:pPr>
        <w:pStyle w:val="NormalnyWeb"/>
        <w:spacing w:before="0" w:after="0"/>
        <w:ind w:firstLine="369"/>
        <w:jc w:val="both"/>
      </w:pPr>
      <w:r>
        <w:t xml:space="preserve">Zgodnie z treścią księgi wieczystej nr RA1G/00061812/4, nieruchomość stanowiąca działkę ewid. nr 404/1, obr. Tarczyn, w dniu wydania decyzji o </w:t>
      </w:r>
      <w:r>
        <w:rPr>
          <w:i/>
          <w:iCs/>
        </w:rPr>
        <w:t>zrid</w:t>
      </w:r>
      <w:r>
        <w:t xml:space="preserve"> stanowiła współwłasność m.in. Funduszu Powierniczego Krusiewicz Family Trust z siedzibą w stanie Kalifornia, USA, spadkobiercy Tadeusza Krusiewicza (w udziale 3/72 części).</w:t>
      </w:r>
    </w:p>
    <w:p w:rsidR="00F0172C" w:rsidRDefault="00F0172C" w:rsidP="00F0172C">
      <w:pPr>
        <w:pStyle w:val="western"/>
        <w:spacing w:before="0" w:beforeAutospacing="0"/>
        <w:ind w:firstLine="369"/>
      </w:pPr>
      <w:r>
        <w:rPr>
          <w:sz w:val="24"/>
          <w:szCs w:val="24"/>
        </w:rPr>
        <w:t>Pismem z dnia 15 czerwca 2016 r. zawiadomiono strony o wszczęciu z urzędu postępowania administracyjnego w sprawie ustalenia wysokości odszkodowania za działkę ewid. nr 404/1, obr. Tarczyn. Dodatkowo zwrócono się do stron o przedłożenie, w terminie     14 dni od daty otrzymania niniejszego pisma, ewentualnych dowodów potwierdzających wydanie nieruchomości inwestorowi, tj. Gminie Tarczyn, pozwalających na ustalenie daty     jej wydania.</w:t>
      </w:r>
    </w:p>
    <w:p w:rsidR="00F0172C" w:rsidRDefault="00F0172C" w:rsidP="00F0172C">
      <w:pPr>
        <w:pStyle w:val="NormalnyWeb"/>
        <w:shd w:val="clear" w:color="auto" w:fill="FFFFFF"/>
        <w:spacing w:before="0" w:after="0"/>
        <w:ind w:firstLine="369"/>
        <w:jc w:val="both"/>
      </w:pPr>
      <w:r>
        <w:t>Pismem z dnia 29 czerwca 2016 r. Gmina Tarczyn przekazała kopie protokółów wydania przedmiotowej nieruchomości przez czterech z siedemnastu jej dotychczasowych współwłaścicieli.</w:t>
      </w:r>
    </w:p>
    <w:p w:rsidR="00F0172C" w:rsidRDefault="00F0172C" w:rsidP="00F0172C">
      <w:pPr>
        <w:pStyle w:val="NormalnyWeb"/>
        <w:shd w:val="clear" w:color="auto" w:fill="FFFFFF"/>
        <w:spacing w:before="0" w:after="0"/>
        <w:ind w:firstLine="369"/>
        <w:jc w:val="both"/>
      </w:pPr>
      <w:r>
        <w:t>Pismem z dnia 15 listopada 2016 r. zwrócono się do Pani Betty Roblyn Krusiewicz           z prośbą o przedłożenie dokumentów potwierdzających, że jest ona uprawniona                     do reprezentowania Funduszu Powierniczego Krusiewicz Family Trust.</w:t>
      </w:r>
    </w:p>
    <w:p w:rsidR="00F0172C" w:rsidRDefault="00F0172C" w:rsidP="00F0172C">
      <w:pPr>
        <w:pStyle w:val="NormalnyWeb"/>
        <w:shd w:val="clear" w:color="auto" w:fill="FFFFFF"/>
        <w:spacing w:before="0" w:after="0"/>
        <w:ind w:firstLine="369"/>
        <w:jc w:val="both"/>
      </w:pPr>
      <w:r>
        <w:t xml:space="preserve">Pismem z dnia 9 maja 2017 r. ponownie zwrócono się do Pani Betty Roblyn Krusiewicz    z prośbą o przedłożenie dokumentów potwierdzających, że jest ona uprawniona                     do reprezentowania Funduszu Powierniczego Krusiewicz Family Trust. Ponadto poinformowano Panią Betty Roblyn Krusiewicz, iż zgodnie z </w:t>
      </w:r>
      <w:r w:rsidR="00AD29A8" w:rsidRPr="00AD29A8">
        <w:rPr>
          <w:i/>
        </w:rPr>
        <w:t>(</w:t>
      </w:r>
      <w:r w:rsidR="00DC61A1" w:rsidRPr="00AD29A8">
        <w:rPr>
          <w:i/>
        </w:rPr>
        <w:t>ówczesnym brzmieniem</w:t>
      </w:r>
      <w:r w:rsidR="00AD29A8" w:rsidRPr="00AD29A8">
        <w:rPr>
          <w:i/>
        </w:rPr>
        <w:t>)</w:t>
      </w:r>
      <w:r w:rsidR="00DC61A1">
        <w:t xml:space="preserve">          </w:t>
      </w:r>
      <w:r>
        <w:t xml:space="preserve">art. 40 § 4 ustawy z dnia 14 czerwca 1960 r. Kodeks postępowania administracyjnego (tekst jedn.: Dz.U. z 2021 r., poz. 735; zwanej dalej Kpa) </w:t>
      </w:r>
      <w:r>
        <w:rPr>
          <w:i/>
          <w:iCs/>
        </w:rPr>
        <w:t>strona zamieszkała za granicą lub mająca siedzibę za granicą, jeżeli nie ustanowiła pełnomocnika do prowadzenia sprawy zamieszkałego w kraju, jest obowiązana wskazać w kraju pełnomocnika do doręczeń</w:t>
      </w:r>
      <w:r>
        <w:t xml:space="preserve"> oraz wezwano do dostarczenia do organu żądanych dokumentów w terminie 7 dni od dnia doręczenia niniejszego pisma. </w:t>
      </w:r>
    </w:p>
    <w:p w:rsidR="00F0172C" w:rsidRDefault="00F0172C" w:rsidP="00F0172C">
      <w:pPr>
        <w:pStyle w:val="NormalnyWeb"/>
        <w:shd w:val="clear" w:color="auto" w:fill="FFFFFF"/>
        <w:spacing w:before="0" w:after="0"/>
        <w:ind w:firstLine="369"/>
        <w:jc w:val="both"/>
      </w:pPr>
      <w:r>
        <w:t>Postanowieniem z dnia 17 września 2020 r. powołano biegłego rzeczoznawcę majątkowego, Pana Roberta Szewczyka, legitymującego się uprawnieniami nr 6096, celem wykonania opinii określającej wartość rynkową nieruchomości stanowiącej działkę              ewid. nr 404/1, obr. Tarczyn.</w:t>
      </w:r>
    </w:p>
    <w:p w:rsidR="00F0172C" w:rsidRDefault="00F0172C" w:rsidP="00F0172C">
      <w:pPr>
        <w:pStyle w:val="western"/>
        <w:spacing w:before="0" w:beforeAutospacing="0"/>
        <w:ind w:firstLine="369"/>
      </w:pPr>
      <w:r>
        <w:rPr>
          <w:sz w:val="24"/>
          <w:szCs w:val="24"/>
        </w:rPr>
        <w:t>W dniu 11 października 2020 r. rzeczoznawca majątkowy Pan Robert Szewczyk sporządził operat szacunkowy dla działki ewid. nr 404/1, obr. Tarczyn. Biegły                          w sporządzonym operacie określił wartość rynkową przedmiotowej nieruchomości na kwotę 12.296 zł.</w:t>
      </w:r>
    </w:p>
    <w:p w:rsidR="00F0172C" w:rsidRDefault="00F0172C" w:rsidP="00F0172C">
      <w:pPr>
        <w:pStyle w:val="NormalnyWeb"/>
        <w:shd w:val="clear" w:color="auto" w:fill="FFFFFF"/>
        <w:spacing w:before="0" w:after="0"/>
        <w:ind w:firstLine="369"/>
        <w:jc w:val="both"/>
      </w:pPr>
      <w:r>
        <w:t xml:space="preserve">Pismem z dnia 30 października 2020 r. po raz kolejny zwrócono się do Pani Betty Roblyn Krusiewicz z prośbą o przedłożenie dokumentów potwierdzających, że jest ona uprawniona do reprezentowania Funduszu Powierniczego Krusiewicz Family Trust. Ponadto poinformowano Panią Betty Roblyn Krusiewicz, iż zgodnie z art. 40 § 4 Kpa </w:t>
      </w:r>
      <w:r>
        <w:rPr>
          <w:i/>
          <w:iCs/>
        </w:rPr>
        <w:t xml:space="preserve">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w:t>
      </w:r>
      <w:r>
        <w:rPr>
          <w:i/>
          <w:iCs/>
        </w:rPr>
        <w:lastRenderedPageBreak/>
        <w:t>pełnomocnika do doręczeń, chyba że doręczenie następuje za pomocą środków komunikacji elektronicznej,</w:t>
      </w:r>
      <w:r>
        <w:t xml:space="preserve"> oraz wezwano do dostarczenia do organu żądanych dokumentów w terminie 14 dni od dnia doręczenia niniejszego pisma. Poinformowano także Panią Betty Roblyn Krusiewicz o warunkach, które należy spełnić zgodnie z art. 39</w:t>
      </w:r>
      <w:r>
        <w:rPr>
          <w:vertAlign w:val="superscript"/>
        </w:rPr>
        <w:t>1</w:t>
      </w:r>
      <w:r>
        <w:t xml:space="preserve"> § 1 Kpa, aby doręczanie pism mogło nastąpić za pomocą środków komunikacji elektronicznej. </w:t>
      </w:r>
    </w:p>
    <w:p w:rsidR="00F0172C" w:rsidRDefault="00F0172C" w:rsidP="00F0172C">
      <w:pPr>
        <w:pStyle w:val="NormalnyWeb"/>
        <w:shd w:val="clear" w:color="auto" w:fill="FFFFFF"/>
        <w:spacing w:before="0" w:after="0"/>
        <w:ind w:firstLine="369"/>
        <w:jc w:val="both"/>
      </w:pPr>
      <w:r>
        <w:t xml:space="preserve">Do dnia wydania niniejszej decyzji o ustaleniu wysokości odszkodowania </w:t>
      </w:r>
      <w:r w:rsidR="0050142E">
        <w:t xml:space="preserve">                        </w:t>
      </w:r>
      <w:r>
        <w:t xml:space="preserve">za przedmiotową nieruchomość do organu nie wpłynęła odpowiedź na pisma kierowane </w:t>
      </w:r>
      <w:r w:rsidR="0050142E">
        <w:t xml:space="preserve">       </w:t>
      </w:r>
      <w:r>
        <w:t>do Pani Betty Roblyn Krusiewicz.</w:t>
      </w:r>
    </w:p>
    <w:p w:rsidR="00F0172C" w:rsidRDefault="00F0172C" w:rsidP="00F0172C">
      <w:pPr>
        <w:pStyle w:val="NormalnyWeb"/>
        <w:shd w:val="clear" w:color="auto" w:fill="FFFFFF"/>
        <w:spacing w:before="0" w:after="0"/>
        <w:ind w:firstLine="369"/>
        <w:jc w:val="both"/>
      </w:pPr>
      <w:r>
        <w:t>Pismem z dnia 8 grudnia 2020 r. Gmina Tarczyn złożyła zastrzeżenia do dokonanej przez biegłego rzeczoznawcę majątkowego wyceny wartości nieruchomości oznaczonej jako działka ewid. nr 404/1, obr. Tarczyn. Strona stwierdziła, iż przy sporządzaniu przedmiotowego operatu szacunkowego nie została właściwie przeprowadzona analiza</w:t>
      </w:r>
      <w:r w:rsidR="0050142E">
        <w:t xml:space="preserve">            </w:t>
      </w:r>
      <w:r>
        <w:t xml:space="preserve"> i charakterystyka rynku nieruchomości, a co za tym idzie przyjęte transakcje drogowe. </w:t>
      </w:r>
      <w:r w:rsidR="0050142E">
        <w:t xml:space="preserve">     </w:t>
      </w:r>
      <w:r>
        <w:t xml:space="preserve">Gmina Tarczyn poinformowała także, że działka ewid. nr 404/1, obr. Tarczyn, znajduje </w:t>
      </w:r>
      <w:r w:rsidR="0050142E">
        <w:t xml:space="preserve">        </w:t>
      </w:r>
      <w:r>
        <w:t xml:space="preserve">się w skrajnej części miasta, graniczącej z terenem wiejskim, w odległości </w:t>
      </w:r>
      <w:r w:rsidR="0050142E">
        <w:t xml:space="preserve">                            </w:t>
      </w:r>
      <w:r>
        <w:t xml:space="preserve">ok. 2 km od obiektów infrastruktury społecznej i wydzielona została pod rozbudowę drogi gminnej, która w dacie wydania decyzji o </w:t>
      </w:r>
      <w:r>
        <w:rPr>
          <w:i/>
          <w:iCs/>
        </w:rPr>
        <w:t>zrid</w:t>
      </w:r>
      <w:r>
        <w:t xml:space="preserve"> stanowiła drogę gruntową nieutwardzoną </w:t>
      </w:r>
      <w:r w:rsidR="0050142E">
        <w:t xml:space="preserve">       </w:t>
      </w:r>
      <w:r>
        <w:t xml:space="preserve">w b. złym stanie technicznym, w sąsiedztwie starej zabudowy magazynowej i produkcyjnej (na dowód tego załączono zdjęcia nieruchomości wykonane w 2013 r. i w 2016 r.). </w:t>
      </w:r>
      <w:r w:rsidR="0050142E">
        <w:t xml:space="preserve">               </w:t>
      </w:r>
      <w:r>
        <w:t xml:space="preserve">W związku z powyższym zastrzeżenia strony wzbudziło przyjęcie przez rzeczoznawcę majątkowego do porównań parami jako nieruchomości najbardziej podobnych do działki ewid. nr 404/1, obr. Tarczyn, nieruchomości położonych w Piastowie i Górze Kalwarii, </w:t>
      </w:r>
      <w:r w:rsidR="0050142E">
        <w:t xml:space="preserve">           </w:t>
      </w:r>
      <w:r>
        <w:t xml:space="preserve">a także pominięcie przy wycenie takich cech nieruchomości, jak dostępność mediów, intensywność zabudowy, stan techniczny drogi oraz jej kategoria. Gmina Tarczyn stwierdziła także, że nie do zaakceptowania jest przyjęta przez rzeczoznawcę majątkowego ocena cechy „położenie w stosunku do terenów zurbanizowanych” jako korzystne dla wycenianej nieruchomości. Strona uznała, że określona przez Pana Roberta Szewczyka wartość nieruchomości nie odzwierciedla jej stanu i odbiega od cen rynkowych nieruchomości </w:t>
      </w:r>
      <w:r w:rsidR="0050142E">
        <w:t xml:space="preserve">             </w:t>
      </w:r>
      <w:r>
        <w:t>o cechach podobnych.</w:t>
      </w:r>
    </w:p>
    <w:p w:rsidR="00F0172C" w:rsidRDefault="00F0172C" w:rsidP="00F0172C">
      <w:pPr>
        <w:pStyle w:val="western"/>
        <w:shd w:val="clear" w:color="auto" w:fill="FFFFFF"/>
        <w:spacing w:before="0" w:beforeAutospacing="0"/>
        <w:ind w:firstLine="369"/>
      </w:pPr>
      <w:r>
        <w:rPr>
          <w:sz w:val="24"/>
          <w:szCs w:val="24"/>
        </w:rPr>
        <w:t xml:space="preserve">W odpowiedzi rzeczoznawca majątkowy Pan Robert Szewczyk pismem z dnia </w:t>
      </w:r>
      <w:r w:rsidR="0050142E">
        <w:rPr>
          <w:sz w:val="24"/>
          <w:szCs w:val="24"/>
        </w:rPr>
        <w:t xml:space="preserve">               </w:t>
      </w:r>
      <w:r>
        <w:rPr>
          <w:sz w:val="24"/>
          <w:szCs w:val="24"/>
        </w:rPr>
        <w:t xml:space="preserve">11 stycznia 2021 r. wyjaśnił, że w przedmiotowym operacie szacunkowym nie stwierdzono, że wyceniana nieruchomość znajduje się w centralnej części miasta, zaś „położenie </w:t>
      </w:r>
      <w:r w:rsidR="0050142E">
        <w:rPr>
          <w:sz w:val="24"/>
          <w:szCs w:val="24"/>
        </w:rPr>
        <w:t xml:space="preserve">                   </w:t>
      </w:r>
      <w:r>
        <w:rPr>
          <w:sz w:val="24"/>
          <w:szCs w:val="24"/>
        </w:rPr>
        <w:t xml:space="preserve">w stosunku do terenów zurbanizowanych” poprawnie określono jako „korzystne” - jako pośrednie między „bardzo korzystne” a „mniej korzystne”. Biegły uznał za niezasadny zarzut, że w operacie została pominięta cecha „intensywność zabudowy”, stwierdzając także, </w:t>
      </w:r>
      <w:r w:rsidR="0050142E">
        <w:rPr>
          <w:sz w:val="24"/>
          <w:szCs w:val="24"/>
        </w:rPr>
        <w:t xml:space="preserve">           </w:t>
      </w:r>
      <w:r>
        <w:rPr>
          <w:sz w:val="24"/>
          <w:szCs w:val="24"/>
        </w:rPr>
        <w:t xml:space="preserve">że wokół wycenianej nieruchomości poza zabudową magazynową i produkcyjną znajdowała się także zabudowa mieszkaniowa wielorodzinna, zaś obszar zurbanizowany może wystąpić także poza centralną częścią miasta. Pan Robert Szewczyk poinformował także, że dobór cech rynkowych wynika z przeprowadzonej analizy wpływu cech rynkowych na ceny nieruchomości w konkretnym przypadku, zaś z analizy tej wynika, że na ceny nieruchomości porównawczych miały wpływ takie cechy, jakie zostały przyjęte w przedmiotowym operacie szacunkowym. Analiza cech, których pominięcie przy wycenie zarzuciła biegłemu Gmina Tarczyn, zdaniem Pana Roberta Szewczyka wykazała, że w analizowanej próbce najlepsze stany tych cech nie występowały w przypadku nieruchomości o najwyższych cenach, zatem nie byłoby prawidłowe uwzględnienie tych cech. </w:t>
      </w:r>
    </w:p>
    <w:p w:rsidR="00F0172C" w:rsidRDefault="00F0172C" w:rsidP="00F0172C">
      <w:pPr>
        <w:pStyle w:val="NormalnyWeb"/>
        <w:shd w:val="clear" w:color="auto" w:fill="FFFFFF"/>
        <w:spacing w:before="0" w:after="0"/>
        <w:ind w:firstLine="369"/>
        <w:jc w:val="both"/>
      </w:pPr>
      <w:r>
        <w:t xml:space="preserve">Pismem z dnia 27 stycznia 2021 r. organ prowadzący postępowanie przesłał do Gminy Tarczyn odpowiedź rzeczoznawcy majątkowego na zgłoszone przez stronę zastrzeżenia oraz poinformował, iż oceniając operat szacunkowy sporządzony w dniu 11 października 2020 r. dla działki ewid. nr 404/1, obr. Tarczyn, stwierdza, że został on wykonany przez uprawnionego rzeczoznawcę majątkowego, z uwzględnieniem obowiązujących w tym </w:t>
      </w:r>
      <w:r>
        <w:lastRenderedPageBreak/>
        <w:t xml:space="preserve">zakresie przepisów i w oparciu o ten operat zamierza ustalić odszkodowanie. Strona postępowania została również poinformowana, że w przypadku dalszego kwestionowania operatu szacunkowego sporządzonego dla działki ewid. nr 404/1, obr. Tarczyn, w celu dokonania oceny prawidłowości sporządzenia operatu szacunkowego może zwrócić </w:t>
      </w:r>
      <w:r w:rsidR="000126B8">
        <w:t xml:space="preserve">               </w:t>
      </w:r>
      <w:r>
        <w:t xml:space="preserve">się do organizacji zawodowej rzeczoznawców majątkowych w trybie art. 157 ustawy z dnia 21 sierpnia 1997 r. o gospodarce nieruchomościami (tekst jedn.: Dz.U. z 2020 r., poz. 1990 </w:t>
      </w:r>
      <w:r w:rsidR="000126B8">
        <w:t xml:space="preserve">   </w:t>
      </w:r>
      <w:r>
        <w:t xml:space="preserve">ze zm.; zwanej dalej ugn). Jednocześnie, w trybie art. 10 § 1 Kpa zawiadomiono stronę </w:t>
      </w:r>
      <w:r w:rsidR="000126B8">
        <w:t xml:space="preserve">          </w:t>
      </w:r>
      <w:r>
        <w:t>o zgromadzonym materiale dowodowym w przedmiotowej sprawie oraz możliwości zapoznania się z nim w siedzibie organu, w terminie 14 dni od dnia doręczenia niniejszego pisma.</w:t>
      </w:r>
    </w:p>
    <w:p w:rsidR="00F0172C" w:rsidRDefault="00F0172C" w:rsidP="00F0172C">
      <w:pPr>
        <w:pStyle w:val="western"/>
        <w:shd w:val="clear" w:color="auto" w:fill="FFFFFF"/>
        <w:spacing w:before="0" w:beforeAutospacing="0"/>
        <w:ind w:firstLine="369"/>
      </w:pPr>
      <w:r>
        <w:rPr>
          <w:sz w:val="24"/>
          <w:szCs w:val="24"/>
        </w:rPr>
        <w:t xml:space="preserve">Biorąc pod uwagę fakt, iż tutejszy organ w toku postępowania natrafił na trudne </w:t>
      </w:r>
      <w:r w:rsidR="000126B8">
        <w:rPr>
          <w:sz w:val="24"/>
          <w:szCs w:val="24"/>
        </w:rPr>
        <w:t xml:space="preserve">             </w:t>
      </w:r>
      <w:r>
        <w:rPr>
          <w:sz w:val="24"/>
          <w:szCs w:val="24"/>
        </w:rPr>
        <w:t xml:space="preserve">do przezwyciężenia przeszkody w wypłacie ustalonego odszkodowania za udział 3/72 części, przypadający spadkobiercy Tadeusza Krusiewicza, w nieruchomości położonej </w:t>
      </w:r>
      <w:r w:rsidR="000126B8">
        <w:rPr>
          <w:sz w:val="24"/>
          <w:szCs w:val="24"/>
        </w:rPr>
        <w:t xml:space="preserve">                      </w:t>
      </w:r>
      <w:r>
        <w:rPr>
          <w:sz w:val="24"/>
          <w:szCs w:val="24"/>
        </w:rPr>
        <w:t xml:space="preserve">w obr. Tarczyn, oznaczonej jako działka ewid. nr 404/1, postanowił prowadzić postępowanie, a w przypadku, gdy do dnia wydania decyzji nie zgłoszą się osoby upoważnione </w:t>
      </w:r>
      <w:r w:rsidR="000126B8">
        <w:rPr>
          <w:sz w:val="24"/>
          <w:szCs w:val="24"/>
        </w:rPr>
        <w:t xml:space="preserve">                  </w:t>
      </w:r>
      <w:r>
        <w:rPr>
          <w:sz w:val="24"/>
          <w:szCs w:val="24"/>
        </w:rPr>
        <w:t>do reprezentowania Funduszu Powierniczego Krusiewicz Family Trust, z dokumentami</w:t>
      </w:r>
      <w:r w:rsidR="000126B8">
        <w:rPr>
          <w:sz w:val="24"/>
          <w:szCs w:val="24"/>
        </w:rPr>
        <w:t xml:space="preserve">        </w:t>
      </w:r>
      <w:r>
        <w:rPr>
          <w:sz w:val="24"/>
          <w:szCs w:val="24"/>
        </w:rPr>
        <w:t xml:space="preserve"> to potwierdzającymi, skorzystać stosownie do art. 23 ustawy z dnia 10 kwietnia 2003 r. </w:t>
      </w:r>
      <w:r w:rsidR="000126B8">
        <w:rPr>
          <w:sz w:val="24"/>
          <w:szCs w:val="24"/>
        </w:rPr>
        <w:t xml:space="preserve">           </w:t>
      </w:r>
      <w:r>
        <w:rPr>
          <w:sz w:val="24"/>
          <w:szCs w:val="24"/>
        </w:rPr>
        <w:t>o szczególnych zasadach przygotowania i realizacji inwestycji w zakresie dróg publicznych (tekst jedn.: Dz.U. z 2020 r., poz. 1363 ze zm.; zwanej dalej specustawą drogową), z przepisu art. 133 ust. 1 ugn, zgodnie z którym odszkodowanie wpłaca się do depozytu sądowego jeżeli wypłata odszkodowania natrafia na trudne do przezwyciężenia przeszkody.</w:t>
      </w:r>
    </w:p>
    <w:p w:rsidR="00F0172C" w:rsidRDefault="00F0172C" w:rsidP="00F0172C">
      <w:pPr>
        <w:pStyle w:val="western"/>
        <w:spacing w:before="0" w:beforeAutospacing="0"/>
        <w:ind w:firstLine="369"/>
      </w:pPr>
      <w:r>
        <w:rPr>
          <w:sz w:val="24"/>
          <w:szCs w:val="24"/>
        </w:rPr>
        <w:t xml:space="preserve">W związku z powyższym Starosta Piaseczyński, działając na podstawie art. 49 Kpa, obwieszczeniem podał do publicznej wiadomości informację o wszczęciu postępowania zmierzającego do ustalenia odszkodowania za udział 3/72 części, przypadający spadkobiercom Tadeusza Krusiewicza, syna Zygmunta i Małgorzaty, w nieruchomości położonej w obr. Tarczyn, oznaczonej jako działka ewid. nr 404/1, wydzielonej z działki ewid. nr 404, przeznaczonej pod realizację inwestycji wskazanej w ww. decyzji o </w:t>
      </w:r>
      <w:r>
        <w:rPr>
          <w:i/>
          <w:iCs/>
          <w:sz w:val="24"/>
          <w:szCs w:val="24"/>
        </w:rPr>
        <w:t>zrid</w:t>
      </w:r>
      <w:r>
        <w:rPr>
          <w:sz w:val="24"/>
          <w:szCs w:val="24"/>
        </w:rPr>
        <w:t xml:space="preserve">. </w:t>
      </w:r>
      <w:r w:rsidR="000126B8">
        <w:rPr>
          <w:sz w:val="24"/>
          <w:szCs w:val="24"/>
        </w:rPr>
        <w:t xml:space="preserve">     </w:t>
      </w:r>
      <w:r>
        <w:rPr>
          <w:sz w:val="24"/>
          <w:szCs w:val="24"/>
        </w:rPr>
        <w:t xml:space="preserve">Należy zaznaczyć, iż mając na uwadze art. 49 Kpa, zgodnie z którym strony mogą </w:t>
      </w:r>
      <w:r w:rsidR="000126B8">
        <w:rPr>
          <w:sz w:val="24"/>
          <w:szCs w:val="24"/>
        </w:rPr>
        <w:t xml:space="preserve">              </w:t>
      </w:r>
      <w:r>
        <w:rPr>
          <w:sz w:val="24"/>
          <w:szCs w:val="24"/>
        </w:rPr>
        <w:t>być zawiadamiane o decyzjach i innych czynnościach organów administracji publicznej przez obwieszczenie lub w inny zwyczajowo przyjęty w danej miejscowości sposób publicznego ogłaszania, jeżeli przepis szczególny tak stanowi; w tych przypadkach zawiadomienie bądź doręczenie uważa się za dokonane po upływie 14 dni od dnia publicznego ogłoszenia.</w:t>
      </w:r>
    </w:p>
    <w:p w:rsidR="00F0172C" w:rsidRDefault="00F0172C" w:rsidP="00F0172C">
      <w:pPr>
        <w:pStyle w:val="NormalnyWeb"/>
        <w:shd w:val="clear" w:color="auto" w:fill="FFFFFF"/>
        <w:spacing w:before="0" w:after="0"/>
        <w:ind w:firstLine="369"/>
        <w:jc w:val="both"/>
      </w:pPr>
      <w:r>
        <w:t>Obwieszczenie Starosty Piaseczyńskiego zostało umieszczone na elektronicznej tablicy ogłoszeń Starostwa Powiatowego w Piasecznie od dnia 16 marca 2021 r. oraz zamieszczone na stronie internetowej Biuletynu Informacji Publicznej Starostwa Powiatowego w Piasecznie dnia 18 marca 2021 r., jednak w terminie 14 dni od dnia ogłoszenia nie zgłosiły się osoby, którym przysługują prawa do ww. nieruchomości.</w:t>
      </w:r>
    </w:p>
    <w:p w:rsidR="00F0172C" w:rsidRPr="000126B8" w:rsidRDefault="00F0172C" w:rsidP="00F0172C">
      <w:pPr>
        <w:pStyle w:val="NormalnyWeb"/>
        <w:shd w:val="clear" w:color="auto" w:fill="FFFFFF"/>
        <w:spacing w:before="0" w:after="0"/>
        <w:ind w:firstLine="369"/>
        <w:jc w:val="both"/>
        <w:rPr>
          <w:sz w:val="10"/>
          <w:szCs w:val="10"/>
        </w:rPr>
      </w:pPr>
    </w:p>
    <w:p w:rsidR="00F0172C" w:rsidRDefault="000126B8" w:rsidP="00F0172C">
      <w:pPr>
        <w:pStyle w:val="western"/>
        <w:spacing w:before="0" w:beforeAutospacing="0"/>
        <w:rPr>
          <w:b/>
          <w:bCs/>
          <w:sz w:val="24"/>
          <w:szCs w:val="24"/>
        </w:rPr>
      </w:pPr>
      <w:r>
        <w:rPr>
          <w:b/>
          <w:bCs/>
          <w:sz w:val="24"/>
          <w:szCs w:val="24"/>
        </w:rPr>
        <w:tab/>
      </w:r>
      <w:r w:rsidR="00F0172C">
        <w:rPr>
          <w:b/>
          <w:bCs/>
          <w:sz w:val="24"/>
          <w:szCs w:val="24"/>
        </w:rPr>
        <w:t xml:space="preserve">W oparciu o zgromadzony w sprawie materiał dowodowy należy stwierdzić, </w:t>
      </w:r>
      <w:r>
        <w:rPr>
          <w:b/>
          <w:bCs/>
          <w:sz w:val="24"/>
          <w:szCs w:val="24"/>
        </w:rPr>
        <w:t xml:space="preserve">               </w:t>
      </w:r>
      <w:r w:rsidR="00F0172C">
        <w:rPr>
          <w:b/>
          <w:bCs/>
          <w:sz w:val="24"/>
          <w:szCs w:val="24"/>
        </w:rPr>
        <w:t>co następuje:</w:t>
      </w:r>
    </w:p>
    <w:p w:rsidR="000126B8" w:rsidRPr="000126B8" w:rsidRDefault="000126B8" w:rsidP="00F0172C">
      <w:pPr>
        <w:pStyle w:val="western"/>
        <w:spacing w:before="0" w:beforeAutospacing="0"/>
        <w:rPr>
          <w:sz w:val="10"/>
          <w:szCs w:val="10"/>
        </w:rPr>
      </w:pPr>
    </w:p>
    <w:p w:rsidR="00F0172C" w:rsidRDefault="00F0172C" w:rsidP="00F0172C">
      <w:pPr>
        <w:pStyle w:val="western"/>
        <w:spacing w:before="0" w:beforeAutospacing="0"/>
        <w:ind w:firstLine="369"/>
      </w:pPr>
      <w:r>
        <w:rPr>
          <w:sz w:val="24"/>
          <w:szCs w:val="24"/>
        </w:rPr>
        <w:t xml:space="preserve">Na mocy wyżej opisanej decyzji o </w:t>
      </w:r>
      <w:r>
        <w:rPr>
          <w:i/>
          <w:iCs/>
          <w:sz w:val="24"/>
          <w:szCs w:val="24"/>
        </w:rPr>
        <w:t>zrid</w:t>
      </w:r>
      <w:r>
        <w:rPr>
          <w:sz w:val="24"/>
          <w:szCs w:val="24"/>
        </w:rPr>
        <w:t xml:space="preserve"> nieruchomość stanowiąca działkę ewid. nr 404, obr. Tarczyn, została podzielona na działkę ewid. nr 404/1 (przeznaczoną pod inwestycję) oraz na dziełkę ewid. nr 404/2 (pozostającą przy współwłaścicielach).</w:t>
      </w:r>
    </w:p>
    <w:p w:rsidR="00F0172C" w:rsidRDefault="00F0172C" w:rsidP="00F0172C">
      <w:pPr>
        <w:pStyle w:val="NormalnyWeb"/>
        <w:spacing w:before="0" w:after="0"/>
        <w:ind w:firstLine="369"/>
        <w:jc w:val="both"/>
      </w:pPr>
      <w:r>
        <w:t>Działka ewid. nr 404/1, obr. Tarczyn została nabyta z mocy prawa z dniem 1 grudnia 2015 r. na rzecz Gminy Tarczyn (art. 12 ust. 4 pkt 2 specustawy drogowej).</w:t>
      </w:r>
    </w:p>
    <w:p w:rsidR="00F0172C" w:rsidRDefault="00F0172C" w:rsidP="00F0172C">
      <w:pPr>
        <w:pStyle w:val="NormalnyWeb"/>
        <w:spacing w:before="0" w:after="0"/>
        <w:ind w:firstLine="369"/>
        <w:jc w:val="both"/>
      </w:pPr>
      <w:r>
        <w:t xml:space="preserve">Zgodnie z treścią księgi wieczystej nr RA1G/00061812/4, nieruchomość stanowiąca działkę ewid. nr 404/1, obr. Tarczyn, w dniu wydania decyzji o </w:t>
      </w:r>
      <w:r>
        <w:rPr>
          <w:i/>
          <w:iCs/>
        </w:rPr>
        <w:t>zrid</w:t>
      </w:r>
      <w:r>
        <w:t xml:space="preserve"> stanowiła współwłasność m.in. Funduszu Powierniczego Krusiewicz Family Trust z siedzibą w stanie Kalifornia, USA, spadkobiercy Tadeusza Krusiewicza (w udziale 3/72 części).</w:t>
      </w:r>
    </w:p>
    <w:p w:rsidR="00F0172C" w:rsidRDefault="00F0172C" w:rsidP="00F0172C">
      <w:pPr>
        <w:pStyle w:val="NormalnyWeb"/>
        <w:spacing w:before="0" w:after="0"/>
        <w:ind w:firstLine="369"/>
        <w:jc w:val="both"/>
      </w:pPr>
      <w:r>
        <w:lastRenderedPageBreak/>
        <w:t>Stosownie do art. 12 ust. 4a specustawy drogowej decyzję ustalającą wysokość odszkodowania za nieruchomości, o których mowa w ust. 4 niniejszej ustawy wydaje organ, który wydał decyzję o zezwoleniu na realizację inwestycji drogowej.</w:t>
      </w:r>
    </w:p>
    <w:p w:rsidR="00F0172C" w:rsidRDefault="00F0172C" w:rsidP="00F0172C">
      <w:pPr>
        <w:pStyle w:val="western"/>
        <w:spacing w:before="0" w:beforeAutospacing="0"/>
        <w:ind w:firstLine="369"/>
      </w:pPr>
      <w:r>
        <w:rPr>
          <w:sz w:val="24"/>
          <w:szCs w:val="24"/>
        </w:rPr>
        <w:t>W myśl art. 12 ust. 4f specustawy drogowej odszkodowanie za nieruchomości, o których mowa w ust. 4 przedmiotowej ustawy, przysługuje dotychczasowym właścicielom nieruchomości, użytkownikom wieczystym nieruchomości oraz osobom, którym przysługuje do nieruchomości ograniczone prawo rzeczowe.</w:t>
      </w:r>
    </w:p>
    <w:p w:rsidR="00F0172C" w:rsidRDefault="00F0172C" w:rsidP="00F0172C">
      <w:pPr>
        <w:pStyle w:val="western"/>
        <w:spacing w:before="0" w:beforeAutospacing="0"/>
        <w:ind w:firstLine="369"/>
      </w:pPr>
      <w:r>
        <w:rPr>
          <w:sz w:val="24"/>
          <w:szCs w:val="24"/>
        </w:rPr>
        <w:t>Zgodnie z art. 12 ust. 5 specustawy drogowej, do ustalenia wysokości i wypłacenia odszkodowania stosuje się odpowiednio przepisy ugn, z zastrzeżeniem art. 18.</w:t>
      </w:r>
    </w:p>
    <w:p w:rsidR="00F0172C" w:rsidRDefault="00F0172C" w:rsidP="00F0172C">
      <w:pPr>
        <w:pStyle w:val="western"/>
        <w:spacing w:before="0" w:beforeAutospacing="0"/>
        <w:ind w:firstLine="369"/>
      </w:pPr>
      <w:r>
        <w:rPr>
          <w:sz w:val="24"/>
          <w:szCs w:val="24"/>
        </w:rPr>
        <w:t>Zgodnie z art. 18 ust. 1 specustawy drogowej wysokość odszkodowania, o którym mowa w art. 12 ust. 4a niniejszej ustawy, ustala się według stanu nieruchomości w dniu wydania decyzji o zezwoleniu na realizację inwestycji drogowej przez organ I instancji oraz według</w:t>
      </w:r>
      <w:r w:rsidR="000126B8">
        <w:rPr>
          <w:sz w:val="24"/>
          <w:szCs w:val="24"/>
        </w:rPr>
        <w:t xml:space="preserve">    </w:t>
      </w:r>
      <w:r>
        <w:rPr>
          <w:sz w:val="24"/>
          <w:szCs w:val="24"/>
        </w:rPr>
        <w:t xml:space="preserve"> jej wartości z dnia, w którym następuje ustalenie wysokości odszkodowania.</w:t>
      </w:r>
    </w:p>
    <w:p w:rsidR="00F0172C" w:rsidRDefault="00F0172C" w:rsidP="00F0172C">
      <w:pPr>
        <w:pStyle w:val="western"/>
        <w:spacing w:before="0" w:beforeAutospacing="0"/>
        <w:ind w:firstLine="369"/>
      </w:pPr>
      <w:r>
        <w:rPr>
          <w:sz w:val="24"/>
          <w:szCs w:val="24"/>
        </w:rPr>
        <w:t>Mając niniejsze na względzie organ ustalił, że uprawnionym do odszkodowania za udział 3/72 części nieruchomości stanowiącej działkę ewid. nr 404/1, obr. Tarczyn, przypadający spadkobiercy Tadeusza Krusiewicza, jest Fundusz Powierniczy Krusiewicz Family Trust</w:t>
      </w:r>
      <w:r w:rsidR="000126B8">
        <w:rPr>
          <w:sz w:val="24"/>
          <w:szCs w:val="24"/>
        </w:rPr>
        <w:t xml:space="preserve">        </w:t>
      </w:r>
      <w:r>
        <w:rPr>
          <w:sz w:val="24"/>
          <w:szCs w:val="24"/>
        </w:rPr>
        <w:t xml:space="preserve"> z siedzibą w stanie Kalifornia, USA.</w:t>
      </w:r>
    </w:p>
    <w:p w:rsidR="00F0172C" w:rsidRDefault="00F0172C" w:rsidP="00F0172C">
      <w:pPr>
        <w:pStyle w:val="western"/>
        <w:shd w:val="clear" w:color="auto" w:fill="FFFFFF"/>
        <w:spacing w:before="0" w:beforeAutospacing="0"/>
        <w:ind w:firstLine="369"/>
      </w:pPr>
      <w:r>
        <w:rPr>
          <w:sz w:val="24"/>
          <w:szCs w:val="24"/>
        </w:rPr>
        <w:t>Zgodnie z art. 133 ust. 1 ugn, odszkodowanie wpłaca się do depozytu sądowego jeżeli wypłata odszkodowania natrafia na trudne do przezwyciężenia przeszkody. Do dnia wydania niniejszej decyzji o ustaleniu wysokości odszkodowania nie zgłosiły się do organu osoby upoważnione do reprezentowania Funduszu Powierniczego Krusiewicz Family Trust,</w:t>
      </w:r>
      <w:r w:rsidR="000126B8">
        <w:rPr>
          <w:sz w:val="24"/>
          <w:szCs w:val="24"/>
        </w:rPr>
        <w:t xml:space="preserve">              </w:t>
      </w:r>
      <w:r>
        <w:rPr>
          <w:sz w:val="24"/>
          <w:szCs w:val="24"/>
        </w:rPr>
        <w:t xml:space="preserve"> z dokumentami to potwierdzającymi.</w:t>
      </w:r>
    </w:p>
    <w:p w:rsidR="00F0172C" w:rsidRDefault="00F0172C" w:rsidP="00F0172C">
      <w:pPr>
        <w:pStyle w:val="western"/>
        <w:shd w:val="clear" w:color="auto" w:fill="FFFFFF"/>
        <w:spacing w:before="0" w:beforeAutospacing="0"/>
        <w:ind w:firstLine="369"/>
      </w:pPr>
      <w:r>
        <w:rPr>
          <w:sz w:val="24"/>
          <w:szCs w:val="24"/>
        </w:rPr>
        <w:t xml:space="preserve">Mając powyższe na uwadze organ ustalił, że odszkodowanie za udział 3/72 części nieruchomości stanowiącej działkę ewid. nr 404/1, obr. Tarczyn, przypadający spadkobiercy Tadeusza Krusiewicza, zostanie przekazane w całości do depozytu sądowego. Odszkodowania za udziały 69/72 części przedmiotowej nieruchomości zostały ustalone </w:t>
      </w:r>
      <w:r w:rsidR="000126B8">
        <w:rPr>
          <w:sz w:val="24"/>
          <w:szCs w:val="24"/>
        </w:rPr>
        <w:t xml:space="preserve">         </w:t>
      </w:r>
      <w:r>
        <w:rPr>
          <w:sz w:val="24"/>
          <w:szCs w:val="24"/>
        </w:rPr>
        <w:t>w odrębnych decyzjach o ustaleniu odszkodowania.</w:t>
      </w:r>
    </w:p>
    <w:p w:rsidR="00F0172C" w:rsidRDefault="00F0172C" w:rsidP="00F0172C">
      <w:pPr>
        <w:pStyle w:val="western"/>
        <w:spacing w:before="0" w:beforeAutospacing="0"/>
        <w:ind w:firstLine="369"/>
      </w:pPr>
      <w:r>
        <w:rPr>
          <w:sz w:val="24"/>
          <w:szCs w:val="24"/>
        </w:rPr>
        <w:t>Wysokość odszkodowania za ww. działkę organ ustalił na podstawie operatu szacunkowego sporządzonego w dniu 11 października 2020 r. przez rzeczoznawcę majątkowego, Pana Roberta Szewczyka.</w:t>
      </w:r>
    </w:p>
    <w:p w:rsidR="00F0172C" w:rsidRDefault="00F0172C" w:rsidP="00F0172C">
      <w:pPr>
        <w:pStyle w:val="NormalnyWeb"/>
        <w:spacing w:before="0" w:after="0"/>
        <w:ind w:firstLine="369"/>
        <w:jc w:val="both"/>
      </w:pPr>
      <w:r>
        <w:t xml:space="preserve">Opinia biegłego, jak każdy dowód w sprawie podlega ocenie przez organ administracji publicznej prowadzący postępowanie. Ocena ta ma prowadzić do ostatecznego przyznania, bądź odmowy przyznania tak sporządzonej opinii wiarygodności dowodowej (art. 80 Kpa). Ocena ta nie może wkraczać w merytoryczną warstwę opinii rzeczoznawcy majątkowego, ponieważ organ nie dysponuje wiadomościami specjalnymi, które posiada biegły. Powinien jednak, zgodnie z art. 77 Kpa, dokonać oceny operatu szacunkowego pod względem formalnym, badając czy został on sporządzony przez uprawnionego rzeczoznawcę majątkowego, czy zawiera wszystkie wymagane przepisami prawa elementy treści, czy jest spójny, czy nie zawiera niejasności, pomyłek, braków, które powinny być uzupełnione, </w:t>
      </w:r>
      <w:r w:rsidR="000126B8">
        <w:t xml:space="preserve">       </w:t>
      </w:r>
      <w:r>
        <w:t>aby dokument ten miał wartość dowodową. W tym zakresie organ ma więc prawo</w:t>
      </w:r>
      <w:r w:rsidR="000126B8">
        <w:t xml:space="preserve">                    </w:t>
      </w:r>
      <w:r>
        <w:t xml:space="preserve"> i obowiązek zbadać, czy przedłożona opinia jest zupełna, logiczna</w:t>
      </w:r>
      <w:r w:rsidR="000126B8">
        <w:t xml:space="preserve">                                            </w:t>
      </w:r>
      <w:r>
        <w:t xml:space="preserve"> i wiarygodna. Operat szacunkowy, poza danymi niezbędnymi dla oceny jego rzetelności, powinien jednocześnie podawać informacje konieczne dla oceny adekwatności operatu </w:t>
      </w:r>
      <w:r w:rsidR="000126B8">
        <w:t xml:space="preserve">        </w:t>
      </w:r>
      <w:r>
        <w:t xml:space="preserve">do okoliczności danej sprawy (patrz wyrok Wojewódzkiego Sądu Administracyjnego w Łodzi z dnia 24 października 2007 r. sygn. akt II SA/Łd 802/07, wyroki Naczelnego Sądu Administracyjnego z dnia 26 stycznia 2006 r. sygn. akt II OSK 459/05; z dnia 8 lutego 2008 r. sygn. akt II OSK 2013/06; z dnia 8 maja 2009 r. sygn. akt I OSK 695/08). Z kolei możliwość merytorycznej oceny operatu szacunkowego została przekazana do kompetencji organizacji zawodowych rzeczoznawców majątkowych (art. 157 ust. 1 </w:t>
      </w:r>
      <w:hyperlink r:id="rId9" w:history="1">
        <w:r w:rsidRPr="000126B8">
          <w:rPr>
            <w:rStyle w:val="Hipercze"/>
            <w:rFonts w:eastAsiaTheme="majorEastAsia"/>
            <w:color w:val="000000"/>
            <w:u w:val="none"/>
          </w:rPr>
          <w:t>ugn</w:t>
        </w:r>
      </w:hyperlink>
      <w:r w:rsidRPr="000126B8">
        <w:t>)</w:t>
      </w:r>
      <w:r>
        <w:t>.</w:t>
      </w:r>
    </w:p>
    <w:p w:rsidR="00F0172C" w:rsidRDefault="00F0172C" w:rsidP="00F0172C">
      <w:pPr>
        <w:pStyle w:val="western"/>
        <w:spacing w:before="0" w:beforeAutospacing="0"/>
        <w:ind w:firstLine="369"/>
      </w:pPr>
      <w:r>
        <w:rPr>
          <w:sz w:val="24"/>
          <w:szCs w:val="24"/>
        </w:rPr>
        <w:lastRenderedPageBreak/>
        <w:t xml:space="preserve">Oceniając operat szacunkowy sporządzony w dniu 11 października 2020 r., należy stwierdzić, że został on wykonany przez uprawnionego rzeczoznawcę majątkowego, </w:t>
      </w:r>
      <w:r w:rsidR="002C6B04">
        <w:rPr>
          <w:sz w:val="24"/>
          <w:szCs w:val="24"/>
        </w:rPr>
        <w:t xml:space="preserve">               </w:t>
      </w:r>
      <w:r>
        <w:rPr>
          <w:sz w:val="24"/>
          <w:szCs w:val="24"/>
        </w:rPr>
        <w:t>z uwzględnieniem obowiązujących w tym zakresie przepisów, tj. specustawy drogowej oraz rozporządzenia Rady Ministrów z dnia 21 września 2004 r. w sprawie wyceny nieruchomości i sporządzania operatu szacunkowego (tekst jedn.: Dz.U. Nr 207, poz. 2109, z późn. zm.).</w:t>
      </w:r>
    </w:p>
    <w:p w:rsidR="00F0172C" w:rsidRDefault="00F0172C" w:rsidP="00F0172C">
      <w:pPr>
        <w:pStyle w:val="western"/>
        <w:spacing w:before="0" w:beforeAutospacing="0"/>
        <w:ind w:firstLine="369"/>
      </w:pPr>
      <w:r>
        <w:rPr>
          <w:sz w:val="24"/>
          <w:szCs w:val="24"/>
        </w:rPr>
        <w:t xml:space="preserve">Z analizy operatu sporządzonego na potrzeby niniejszego postępowania wynika, </w:t>
      </w:r>
      <w:r w:rsidR="002C6B04">
        <w:rPr>
          <w:sz w:val="24"/>
          <w:szCs w:val="24"/>
        </w:rPr>
        <w:t xml:space="preserve">             </w:t>
      </w:r>
      <w:r>
        <w:rPr>
          <w:sz w:val="24"/>
          <w:szCs w:val="24"/>
        </w:rPr>
        <w:t xml:space="preserve">że dokonując wyceny przedmiotowej nieruchomości rzeczoznawca uwzględnił jej stan </w:t>
      </w:r>
      <w:r w:rsidR="002C6B04">
        <w:rPr>
          <w:sz w:val="24"/>
          <w:szCs w:val="24"/>
        </w:rPr>
        <w:t xml:space="preserve">         </w:t>
      </w:r>
      <w:r>
        <w:rPr>
          <w:sz w:val="24"/>
          <w:szCs w:val="24"/>
        </w:rPr>
        <w:t xml:space="preserve">na dzień 29 października 2015 r., a więc na dzień wydania decyzji o </w:t>
      </w:r>
      <w:r>
        <w:rPr>
          <w:i/>
          <w:iCs/>
          <w:sz w:val="24"/>
          <w:szCs w:val="24"/>
        </w:rPr>
        <w:t>zrid</w:t>
      </w:r>
      <w:r>
        <w:rPr>
          <w:sz w:val="24"/>
          <w:szCs w:val="24"/>
        </w:rPr>
        <w:t xml:space="preserve">. </w:t>
      </w:r>
    </w:p>
    <w:p w:rsidR="00F0172C" w:rsidRDefault="00F0172C" w:rsidP="00F0172C">
      <w:pPr>
        <w:pStyle w:val="western"/>
        <w:spacing w:before="0" w:beforeAutospacing="0"/>
        <w:ind w:firstLine="369"/>
      </w:pPr>
      <w:r>
        <w:rPr>
          <w:sz w:val="24"/>
          <w:szCs w:val="24"/>
        </w:rPr>
        <w:t xml:space="preserve">W sporządzonym operacie szacunkowym rzeczoznawca majątkowy oszacował wartość prawa własności działki ewid. nr 404/1, obr. Tarczyn, na kwotę 12.296 zł. Biegły </w:t>
      </w:r>
      <w:r w:rsidR="002C6B04">
        <w:rPr>
          <w:sz w:val="24"/>
          <w:szCs w:val="24"/>
        </w:rPr>
        <w:t xml:space="preserve">                   </w:t>
      </w:r>
      <w:r>
        <w:rPr>
          <w:sz w:val="24"/>
          <w:szCs w:val="24"/>
        </w:rPr>
        <w:t>w sporządzonej opinii przyjął do porównania transakcje z rynku powiatu piaseczyńskiego</w:t>
      </w:r>
      <w:r w:rsidR="002C6B04">
        <w:rPr>
          <w:sz w:val="24"/>
          <w:szCs w:val="24"/>
        </w:rPr>
        <w:t xml:space="preserve">        </w:t>
      </w:r>
      <w:r>
        <w:rPr>
          <w:sz w:val="24"/>
          <w:szCs w:val="24"/>
        </w:rPr>
        <w:t xml:space="preserve"> i powiatu pruszkowskiego z ostatnich 2 lat poprzedzających wycenę, a różnice lokalizacyjne pomiędzy nieruchomością wycenianą a nieruchomościami przyjętymi do porównania zostały skorygowane poprzez zastosowanie odpowiednich współczynników.</w:t>
      </w:r>
    </w:p>
    <w:p w:rsidR="00F0172C" w:rsidRDefault="00F0172C" w:rsidP="00F0172C">
      <w:pPr>
        <w:pStyle w:val="NormalnyWeb"/>
        <w:spacing w:before="0" w:after="0"/>
        <w:ind w:firstLine="369"/>
        <w:jc w:val="both"/>
      </w:pPr>
      <w:r>
        <w:t>Należy zatem stwierdzić, że rzeczoznawca majątkowy dokonując wyceny przedmiotowej nieruchomości uwzględnił przepis art. 18 ust. 1 specustawy drogowej. Organ uznał przedmiotowy operat szacunkowy oraz wyjaśnienia rzeczoznawcy majątkowego, Pana Roberta Szewczyka, zawarte w piśmie z dnia 11 stycznia 2021 r., za wiarygodne dowody</w:t>
      </w:r>
      <w:r w:rsidR="002C6B04">
        <w:t xml:space="preserve">       </w:t>
      </w:r>
      <w:r>
        <w:t xml:space="preserve"> w sprawie i w oparciu o ten operat ustalił odszkodowanie. </w:t>
      </w:r>
    </w:p>
    <w:p w:rsidR="00F0172C" w:rsidRDefault="00F0172C" w:rsidP="00F0172C">
      <w:pPr>
        <w:pStyle w:val="western"/>
        <w:spacing w:before="0" w:beforeAutospacing="0"/>
        <w:ind w:firstLine="369"/>
      </w:pPr>
      <w:r>
        <w:rPr>
          <w:sz w:val="24"/>
          <w:szCs w:val="24"/>
        </w:rPr>
        <w:t xml:space="preserve">Dodać należy również, że kwestie dotyczące prawidłowości sporządzonych operatów szacunkowych co do przyjętych przez rzeczoznawcę założeń metodologicznych, przyjętych do porównań jako podobne nieruchomości i transakcji sprzedaży gruntów, ustalenie istotnych cech nieruchomości, ich liczby oraz danych przyjętych dla analizy rynku i do wyceny należą do zakresu wiedzy specjalistycznej, którą posiadają wykwalifikowani rzeczoznawcy majątkowi i dlatego ich prawidłowość może zostać skontrolowana jedynie przez specjalistyczny organ,  powołany w tym celu, czyli organizację zawodową rzeczoznawców majątkowych, o której mowa w art. 157 ugn. </w:t>
      </w:r>
    </w:p>
    <w:p w:rsidR="00F0172C" w:rsidRDefault="002C6B04" w:rsidP="00F0172C">
      <w:pPr>
        <w:pStyle w:val="western"/>
        <w:spacing w:before="0" w:beforeAutospacing="0"/>
      </w:pPr>
      <w:r>
        <w:rPr>
          <w:sz w:val="24"/>
          <w:szCs w:val="24"/>
        </w:rPr>
        <w:tab/>
      </w:r>
      <w:r w:rsidR="00F0172C">
        <w:rPr>
          <w:sz w:val="24"/>
          <w:szCs w:val="24"/>
        </w:rPr>
        <w:t xml:space="preserve">Zauważyć należy również, iż w przypadku, gdy operat szacunkowy oraz wyjaśnienia złożone przez biegłego na żądanie organu w dalszym ciągu są kwestionowane, to na stronę przechodzi ciężar przeprowadzenia przeciwdowodu z opinii organizacji zawodowej rzeczoznawców majątkowych (tak: Wojewódzki Sąd Administracyjny w Warszawie z dnia </w:t>
      </w:r>
      <w:r>
        <w:rPr>
          <w:sz w:val="24"/>
          <w:szCs w:val="24"/>
        </w:rPr>
        <w:t xml:space="preserve">   </w:t>
      </w:r>
      <w:r w:rsidR="00F0172C">
        <w:rPr>
          <w:sz w:val="24"/>
          <w:szCs w:val="24"/>
        </w:rPr>
        <w:t xml:space="preserve">30 stycznia 2008 r., sygn. akt I SA/WA 1833/07). Również subiektywne przekonanie strony, iż wskazana w operacie szacunkowym cena za wywłaszczoną nieruchomość jest zbyt wysoka, nie świadczy o wadliwości operatu, skoro strona nie przedstawiła oceny operatu przez organizację zawodową rzeczoznawców majątkowych w celu skontrolowania prawidłowości sporządzenia tego operatu - do czego uprawniona jest na mocy art. 157 ugn. Możliwość </w:t>
      </w:r>
      <w:r>
        <w:rPr>
          <w:sz w:val="24"/>
          <w:szCs w:val="24"/>
        </w:rPr>
        <w:t xml:space="preserve">        </w:t>
      </w:r>
      <w:r w:rsidR="00F0172C">
        <w:rPr>
          <w:sz w:val="24"/>
          <w:szCs w:val="24"/>
        </w:rPr>
        <w:t xml:space="preserve">ta i skorzystanie z niej zależy jednak od inicjatywy strony, która dąży do zakwestionowania prawidłowości sporządzenia operatu szacunkowego jako podstawy wydania decyzji (wyrok Naczelnego Sądu Administracyjnego w Warszawie z dnia 7 grudnia 2012 r. sygn. </w:t>
      </w:r>
      <w:r>
        <w:rPr>
          <w:sz w:val="24"/>
          <w:szCs w:val="24"/>
        </w:rPr>
        <w:t xml:space="preserve">                 </w:t>
      </w:r>
      <w:r w:rsidR="00F0172C">
        <w:rPr>
          <w:sz w:val="24"/>
          <w:szCs w:val="24"/>
        </w:rPr>
        <w:t xml:space="preserve">akt I OSK1434/11; wyrok NSA z dnia 14 marca  2007 r. sygn. akt I OSK 322/06). Jak wynika z akt sprawy, Gmina Tarczyn nie przedstawiła przeciwdowodu – oceny operatu przez organizację zawodową rzeczoznawców majątkowych. </w:t>
      </w:r>
    </w:p>
    <w:p w:rsidR="00F0172C" w:rsidRPr="002C6B04" w:rsidRDefault="00F0172C" w:rsidP="00F0172C">
      <w:pPr>
        <w:pStyle w:val="western"/>
        <w:spacing w:before="0" w:beforeAutospacing="0"/>
        <w:rPr>
          <w:sz w:val="6"/>
          <w:szCs w:val="6"/>
        </w:rPr>
      </w:pPr>
    </w:p>
    <w:p w:rsidR="00F0172C" w:rsidRDefault="00F0172C" w:rsidP="00F0172C">
      <w:pPr>
        <w:pStyle w:val="NormalnyWeb"/>
        <w:spacing w:before="0" w:after="0"/>
        <w:ind w:firstLine="369"/>
        <w:jc w:val="both"/>
      </w:pPr>
      <w:r>
        <w:rPr>
          <w:b/>
          <w:bCs/>
        </w:rPr>
        <w:t>W przedmiocie uprawnienia do powiększenia kwoty odszkodowania, należnego</w:t>
      </w:r>
      <w:r w:rsidR="002C6B04">
        <w:rPr>
          <w:b/>
          <w:bCs/>
        </w:rPr>
        <w:t xml:space="preserve">       </w:t>
      </w:r>
      <w:r>
        <w:rPr>
          <w:b/>
          <w:bCs/>
        </w:rPr>
        <w:t xml:space="preserve"> na podstawie art. 18 ust. 1e pkt 3 specustawy drogowej organ prowadzący postępowanie ustalił, co następuje:</w:t>
      </w:r>
    </w:p>
    <w:p w:rsidR="00F0172C" w:rsidRPr="002C6B04" w:rsidRDefault="00F0172C" w:rsidP="00F0172C">
      <w:pPr>
        <w:pStyle w:val="western"/>
        <w:spacing w:before="0" w:beforeAutospacing="0"/>
        <w:ind w:firstLine="369"/>
        <w:rPr>
          <w:sz w:val="6"/>
          <w:szCs w:val="6"/>
        </w:rPr>
      </w:pPr>
    </w:p>
    <w:p w:rsidR="00F0172C" w:rsidRDefault="00F0172C" w:rsidP="00F0172C">
      <w:pPr>
        <w:pStyle w:val="NormalnyWeb"/>
        <w:spacing w:before="0" w:after="0"/>
        <w:ind w:firstLine="340"/>
        <w:jc w:val="both"/>
      </w:pPr>
      <w:r>
        <w:t>Stosownie do art. 18 ust. 1e pkt 3 specustawy drogowej w przypadku, w którym dotychczasowy właściciel lub użytkownik wieczysty nieruchomości objętej decyzją</w:t>
      </w:r>
      <w:r w:rsidR="002C6B04">
        <w:t xml:space="preserve">               </w:t>
      </w:r>
      <w:r>
        <w:t xml:space="preserve"> o zezwoleniu na realizację inwestycji drogowej odpowiednio wyda tę nieruchomość i opróżni lokal oraz inne pomieszczenia niezwłocznie, lecz nie później niż w terminie 30 dni od daty </w:t>
      </w:r>
      <w:r>
        <w:lastRenderedPageBreak/>
        <w:t>uprawomocnienia się decyzji, wysokość odszkodowania powiększa się o kwotę równą</w:t>
      </w:r>
      <w:r w:rsidR="002C6B04">
        <w:t xml:space="preserve">        </w:t>
      </w:r>
      <w:r>
        <w:t xml:space="preserve"> 5% wartości nieruchomości lub wartości prawa użytkowania wieczystego.</w:t>
      </w:r>
    </w:p>
    <w:p w:rsidR="00F0172C" w:rsidRDefault="00F0172C" w:rsidP="00F0172C">
      <w:pPr>
        <w:pStyle w:val="NormalnyWeb"/>
        <w:spacing w:before="0" w:after="0"/>
        <w:ind w:firstLine="369"/>
        <w:jc w:val="both"/>
      </w:pPr>
      <w:r>
        <w:t>Ustawodawca uzależnił przyznanie odszkodowania powiększonego o 5% od łącznego spełnienia następujących przesłanek: 1) wydania przez właściciela/użytkownika wieczystego nieruchomości objętej decyzją o zezwoleniu na realizację inwestycji drogowej oraz opróżnienia i wydania lokali i innych pomieszczeń, 2) dokonania powyższych czynności</w:t>
      </w:r>
      <w:r w:rsidR="002C6B04">
        <w:t xml:space="preserve">        </w:t>
      </w:r>
      <w:r>
        <w:t xml:space="preserve"> w określonym w art. 18 ust. 1e specustawy drogowej terminie. Dopiero spełnienie wszystkich powyższych warunków uprawnia do powiększenia ustalonego odszkodowania o 5%.</w:t>
      </w:r>
    </w:p>
    <w:p w:rsidR="00F0172C" w:rsidRDefault="00F0172C" w:rsidP="00F0172C">
      <w:pPr>
        <w:pStyle w:val="NormalnyWeb"/>
        <w:spacing w:before="0" w:after="0"/>
        <w:ind w:firstLine="369"/>
        <w:jc w:val="both"/>
      </w:pPr>
      <w:r>
        <w:t xml:space="preserve">Decyzja o </w:t>
      </w:r>
      <w:r>
        <w:rPr>
          <w:i/>
          <w:iCs/>
        </w:rPr>
        <w:t>zrid</w:t>
      </w:r>
      <w:r>
        <w:t xml:space="preserve"> stała się ostateczna z dniem 1 grudnia 2015 r. Jak wynika z akt sprawy, </w:t>
      </w:r>
      <w:r w:rsidR="002C6B04">
        <w:t xml:space="preserve">    </w:t>
      </w:r>
      <w:r>
        <w:t xml:space="preserve">do Urzędu Miejskiego w Tarczynie wpłynęły protokóły wydania przedmiotowej nieruchomości przez czterech z siedemnastu dotychczasowych współwłaścicieli. Jednak </w:t>
      </w:r>
      <w:r w:rsidR="002C6B04">
        <w:t xml:space="preserve">      </w:t>
      </w:r>
      <w:r>
        <w:t>do dnia wydania niniejszej decyzji o ustaleniu wysokości odszkodowania za przedmiotową nieruchomość, pomimo zwrócenia się do stron niniejszego postępowania pismem z dnia</w:t>
      </w:r>
      <w:r w:rsidR="002C6B04">
        <w:t xml:space="preserve">         </w:t>
      </w:r>
      <w:r>
        <w:t xml:space="preserve"> 15 czerwca 2016 r., do organu nie wpłynęła informacja o wydaniu działki ewid. nr 404/1, </w:t>
      </w:r>
      <w:r w:rsidR="002C6B04">
        <w:t xml:space="preserve">   </w:t>
      </w:r>
      <w:r>
        <w:t xml:space="preserve">obr. Tarczyn, przez pozostałych byłych współwłaścicieli. </w:t>
      </w:r>
    </w:p>
    <w:p w:rsidR="00F0172C" w:rsidRDefault="00F0172C" w:rsidP="00F0172C">
      <w:pPr>
        <w:pStyle w:val="NormalnyWeb"/>
        <w:spacing w:before="0" w:after="0"/>
        <w:ind w:firstLine="369"/>
        <w:jc w:val="both"/>
      </w:pPr>
      <w:r>
        <w:t xml:space="preserve">Zgodnie z art. 199 ustawy z dnia 23 kwietnia 1964 r. Kodeks cywilny (tekst jedn.: </w:t>
      </w:r>
      <w:r w:rsidR="002C6B04">
        <w:t xml:space="preserve">       </w:t>
      </w:r>
      <w:r>
        <w:t>Dz.U. z 2020 r., poz. 1740 ze zm., zwanej dalej kc) do rozporządzania rzeczą wspólną oraz</w:t>
      </w:r>
      <w:r w:rsidR="002C6B04">
        <w:t xml:space="preserve">    </w:t>
      </w:r>
      <w:r>
        <w:t xml:space="preserve"> do innych czynności, które przekraczają zakres zwykłego zarządu potrzebna jest zgoda wszystkich współwłaścicieli. Wobec powyższego, aby doszło do skutecznego wydania nieruchomości, wywierającego skutek w postaci powiększenia odszkodowania o 5% wydanie powinno nastąpić przez działanie wszystkich właścicieli nieruchomości. Wydanie nieruchomości zostało dokonane przez czterech z siedemnastu współwłaścicieli, a zatem należy uznać, iż prawidłowe wydanie nieruchomości nie nastąpiło w ustawowym terminie.</w:t>
      </w:r>
    </w:p>
    <w:p w:rsidR="00F0172C" w:rsidRDefault="00F0172C" w:rsidP="00F0172C">
      <w:pPr>
        <w:pStyle w:val="western"/>
        <w:spacing w:before="0" w:beforeAutospacing="0"/>
        <w:ind w:firstLine="369"/>
      </w:pPr>
      <w:r>
        <w:rPr>
          <w:sz w:val="24"/>
          <w:szCs w:val="24"/>
        </w:rPr>
        <w:t>Wobec powyższego organ uznał, że nie zachodzą przesłanki do powiększenia należnego odszkodowania o 5%, na podstawie art. 18 ust. 1e pkt 3 specustawy drogowej.</w:t>
      </w:r>
    </w:p>
    <w:p w:rsidR="00F0172C" w:rsidRDefault="00F0172C" w:rsidP="00F0172C">
      <w:pPr>
        <w:pStyle w:val="NormalnyWeb"/>
        <w:spacing w:before="0" w:after="0"/>
        <w:ind w:firstLine="369"/>
        <w:jc w:val="both"/>
      </w:pPr>
      <w:r>
        <w:t xml:space="preserve">Stosownie do art. 118a ust. 3 ugn odszkodowanie za nieruchomość, której własność przeszła na rzecz Skarbu Państwa lub jednostki samorządu terytorialnego, (…) składa </w:t>
      </w:r>
      <w:r w:rsidR="002C6B04">
        <w:t xml:space="preserve">           </w:t>
      </w:r>
      <w:r>
        <w:t xml:space="preserve">się do depozytu sądowego na okres 10 lat. Zgodnie z art. 133 ust. 1 ugn, odszkodowanie wpłaca się do depozytu sądowego, jeżeli wypłata odszkodowania natrafia na trudne </w:t>
      </w:r>
      <w:r w:rsidR="002C6B04">
        <w:t xml:space="preserve">              </w:t>
      </w:r>
      <w:r>
        <w:t xml:space="preserve">do przezwyciężenia przeszkody. </w:t>
      </w:r>
    </w:p>
    <w:p w:rsidR="00F0172C" w:rsidRPr="008543EF" w:rsidRDefault="00F0172C" w:rsidP="00F0172C">
      <w:pPr>
        <w:pStyle w:val="NormalnyWeb"/>
        <w:spacing w:before="0" w:after="0"/>
        <w:ind w:firstLine="369"/>
        <w:jc w:val="both"/>
      </w:pPr>
      <w:r>
        <w:t xml:space="preserve">Z uwagi na fakt, iż do dnia wydania niniejszej decyzji do tutejszego organu nie zgłosiły się osoby upoważnione do reprezentowania Funduszu Powierniczego Krusiewicz Family Trust z siedzibą w stanie Kalifornia, USA, z dokumentami to potwierdzającymi, organ orzekł </w:t>
      </w:r>
      <w:r w:rsidRPr="008543EF">
        <w:t>o przekazaniu odszkodowania za udział 3/72 części w nieruchomości stanowiącej działkę ewid. nr 404/1, obr. Tarczyn, przypadający spadkobiercy Tadeusza Krusiewicza, do depozytu sądowego.</w:t>
      </w:r>
    </w:p>
    <w:p w:rsidR="008543EF" w:rsidRPr="008543EF" w:rsidRDefault="008543EF" w:rsidP="008543EF">
      <w:pPr>
        <w:pStyle w:val="western"/>
        <w:spacing w:before="0" w:beforeAutospacing="0"/>
        <w:contextualSpacing/>
        <w:rPr>
          <w:sz w:val="24"/>
          <w:szCs w:val="24"/>
        </w:rPr>
      </w:pPr>
      <w:r w:rsidRPr="008543EF">
        <w:rPr>
          <w:sz w:val="24"/>
          <w:szCs w:val="24"/>
        </w:rPr>
        <w:tab/>
      </w:r>
      <w:r w:rsidR="00F0172C" w:rsidRPr="008543EF">
        <w:rPr>
          <w:sz w:val="24"/>
          <w:szCs w:val="24"/>
        </w:rPr>
        <w:t>Złożenie przedmiotu świadczenia do depozytu sądowego (w tym przypadku odszkodowania) regulują art. 692–693</w:t>
      </w:r>
      <w:r w:rsidR="00F0172C" w:rsidRPr="008543EF">
        <w:rPr>
          <w:sz w:val="24"/>
          <w:szCs w:val="24"/>
          <w:vertAlign w:val="superscript"/>
        </w:rPr>
        <w:t>10</w:t>
      </w:r>
      <w:r w:rsidR="00F0172C" w:rsidRPr="008543EF">
        <w:rPr>
          <w:sz w:val="24"/>
          <w:szCs w:val="24"/>
        </w:rPr>
        <w:t xml:space="preserve"> </w:t>
      </w:r>
      <w:r w:rsidRPr="008543EF">
        <w:rPr>
          <w:sz w:val="24"/>
          <w:szCs w:val="24"/>
        </w:rPr>
        <w:t>ustawy z dnia 17 listopada 1964 r. Kodeks postępowania cywilnego (tekst jedn.: Dz.U. z 2020 r., poz. 1575 ze zm.).</w:t>
      </w:r>
    </w:p>
    <w:p w:rsidR="00F0172C" w:rsidRPr="008543EF" w:rsidRDefault="00F0172C" w:rsidP="00F0172C">
      <w:pPr>
        <w:pStyle w:val="NormalnyWeb"/>
        <w:spacing w:before="0" w:after="0"/>
        <w:ind w:firstLine="369"/>
        <w:jc w:val="both"/>
      </w:pPr>
      <w:r w:rsidRPr="008543EF">
        <w:t>Ważne złożenie do depozytu sądowego ma takie same skutki jak spełnienie świadczenia</w:t>
      </w:r>
      <w:r w:rsidR="002C6B04" w:rsidRPr="008543EF">
        <w:t xml:space="preserve">    </w:t>
      </w:r>
      <w:r w:rsidRPr="008543EF">
        <w:t xml:space="preserve"> i zobowiązuje wierzyciela do zwrotu dłużnikowi (w tym przypadku jednostce samorządu terytorialnego) kosztów złożenia kwoty odszkodowania do depozytu sądowego (art. 470 kc).</w:t>
      </w:r>
    </w:p>
    <w:p w:rsidR="00F0172C" w:rsidRDefault="00F0172C" w:rsidP="00F0172C">
      <w:pPr>
        <w:pStyle w:val="NormalnyWeb"/>
        <w:spacing w:before="0" w:after="0"/>
        <w:ind w:firstLine="369"/>
        <w:jc w:val="both"/>
      </w:pPr>
      <w:r>
        <w:t>Osoba uprawniona do odebrania odszkodowania nie może wystąpić z roszczeniem</w:t>
      </w:r>
      <w:r w:rsidR="002C6B04">
        <w:t xml:space="preserve">            </w:t>
      </w:r>
      <w:r>
        <w:t xml:space="preserve"> o odsetki z tytułu opóźnienia w wypłacie odszkodowania, jeżeli złożone ono zostało </w:t>
      </w:r>
      <w:r w:rsidR="002C6B04">
        <w:t xml:space="preserve">             </w:t>
      </w:r>
      <w:r>
        <w:t xml:space="preserve">do depozytu sądowego. Z chwilą złożenia odszkodowania do depozytu sądowego następuje bowiem zwolnienie dłużnika ze zobowiązania, a także ze skutków zwłoki lub opóźnienia </w:t>
      </w:r>
      <w:r w:rsidR="002C6B04">
        <w:t xml:space="preserve">      </w:t>
      </w:r>
      <w:r>
        <w:t>w wypłacie oraz z waloryzacji na dzień wypłaty (o ile przekazanie do depozytu sądowego nastąpiło w terminie wypłaty odszkodowania).</w:t>
      </w:r>
    </w:p>
    <w:p w:rsidR="00F0172C" w:rsidRDefault="00F0172C" w:rsidP="00F0172C">
      <w:pPr>
        <w:pStyle w:val="NormalnyWeb"/>
        <w:spacing w:before="0" w:after="0"/>
        <w:ind w:firstLine="369"/>
        <w:jc w:val="both"/>
      </w:pPr>
      <w:r>
        <w:lastRenderedPageBreak/>
        <w:t xml:space="preserve">Podjęcie z depozytu sądowego ustalonego odszkodowania może nastąpić </w:t>
      </w:r>
      <w:r w:rsidR="002C6B04">
        <w:t xml:space="preserve">                        </w:t>
      </w:r>
      <w:r>
        <w:t>po przedstawieniu dokumentów potwierdzających uprawnienia do reprezentowania Funduszu Powierniczego Krusiewicz Family Trust.z siedzibą w stanie Kalifornia, USA.</w:t>
      </w:r>
    </w:p>
    <w:p w:rsidR="00F0172C" w:rsidRDefault="00F0172C" w:rsidP="00F0172C">
      <w:pPr>
        <w:pStyle w:val="NormalnyWeb"/>
        <w:spacing w:before="0" w:after="0"/>
        <w:ind w:firstLine="369"/>
        <w:jc w:val="both"/>
      </w:pPr>
      <w:r>
        <w:t>Mając na uwadze powyższe, orzeczono jak w sentencji.</w:t>
      </w:r>
    </w:p>
    <w:p w:rsidR="00F0172C" w:rsidRDefault="00F0172C" w:rsidP="00F0172C">
      <w:pPr>
        <w:pStyle w:val="NormalnyWeb"/>
        <w:spacing w:before="0" w:after="0"/>
        <w:ind w:firstLine="369"/>
        <w:jc w:val="both"/>
      </w:pPr>
      <w:r>
        <w:t xml:space="preserve">Od decyzji przysługuje odwołanie do Wojewody Mazowieckiego, 00-950 Warszawa, </w:t>
      </w:r>
      <w:r w:rsidR="002C6B04">
        <w:t xml:space="preserve">   </w:t>
      </w:r>
      <w:r>
        <w:t xml:space="preserve">Plac Bankowy 3/5, w terminie 14 dni od dnia doręczenia niniejszej decyzji, które wnosi </w:t>
      </w:r>
      <w:r w:rsidR="002C6B04">
        <w:t xml:space="preserve">       </w:t>
      </w:r>
      <w:r>
        <w:t>się za pośrednictwem Starosty Piaseczyńskiego.</w:t>
      </w:r>
    </w:p>
    <w:p w:rsidR="00F0172C" w:rsidRDefault="002C6B04" w:rsidP="00F0172C">
      <w:pPr>
        <w:pStyle w:val="western"/>
        <w:spacing w:before="0" w:beforeAutospacing="0"/>
      </w:pPr>
      <w:r>
        <w:rPr>
          <w:sz w:val="24"/>
          <w:szCs w:val="24"/>
        </w:rPr>
        <w:tab/>
      </w:r>
      <w:r w:rsidR="00F0172C">
        <w:rPr>
          <w:sz w:val="24"/>
          <w:szCs w:val="24"/>
        </w:rPr>
        <w:t xml:space="preserve">Niniejsza decyzja podlega ogłoszeniu w sposób określony w art. 49 Kpa w związku </w:t>
      </w:r>
      <w:r>
        <w:rPr>
          <w:sz w:val="24"/>
          <w:szCs w:val="24"/>
        </w:rPr>
        <w:t xml:space="preserve">            </w:t>
      </w:r>
      <w:r w:rsidR="00F0172C">
        <w:rPr>
          <w:sz w:val="24"/>
          <w:szCs w:val="24"/>
        </w:rPr>
        <w:t>z art. 118a ust. 2 ugn, tj. przez obwieszczenie lub w inny zwyczajowo przyjęty w danej miejscowości sposób publicznego ogłaszania. Decyzję uważa się za doręczoną ze skutkiem prawnym po upływie 14 dni od dnia publicznego ogłoszenia.</w:t>
      </w:r>
    </w:p>
    <w:p w:rsidR="00F0172C" w:rsidRDefault="00F0172C" w:rsidP="00F0172C">
      <w:pPr>
        <w:pStyle w:val="NormalnyWeb"/>
        <w:spacing w:before="0" w:after="0"/>
        <w:jc w:val="both"/>
      </w:pPr>
    </w:p>
    <w:p w:rsidR="00F0172C" w:rsidRDefault="00F0172C" w:rsidP="00F0172C">
      <w:pPr>
        <w:pStyle w:val="western"/>
        <w:spacing w:before="0" w:beforeAutospacing="0"/>
      </w:pPr>
      <w:r>
        <w:rPr>
          <w:b/>
          <w:bCs/>
          <w:sz w:val="20"/>
          <w:szCs w:val="20"/>
          <w:u w:val="single"/>
        </w:rPr>
        <w:t>Otrzymują:</w:t>
      </w:r>
    </w:p>
    <w:p w:rsidR="00F0172C" w:rsidRDefault="00F0172C" w:rsidP="00F0172C">
      <w:pPr>
        <w:pStyle w:val="western"/>
        <w:spacing w:before="0" w:beforeAutospacing="0"/>
      </w:pPr>
      <w:r>
        <w:rPr>
          <w:sz w:val="22"/>
          <w:szCs w:val="22"/>
        </w:rPr>
        <w:t>1. Gmina Tarczyn</w:t>
      </w:r>
    </w:p>
    <w:p w:rsidR="00F0172C" w:rsidRDefault="00F0172C" w:rsidP="00F0172C">
      <w:pPr>
        <w:pStyle w:val="western"/>
        <w:spacing w:before="0" w:beforeAutospacing="0"/>
      </w:pPr>
      <w:r>
        <w:rPr>
          <w:sz w:val="22"/>
          <w:szCs w:val="22"/>
        </w:rPr>
        <w:t>2. Elektroniczna Tablica Ogłoszeń</w:t>
      </w:r>
    </w:p>
    <w:p w:rsidR="00F0172C" w:rsidRDefault="00F0172C" w:rsidP="00F0172C">
      <w:pPr>
        <w:pStyle w:val="western"/>
        <w:spacing w:before="0" w:beforeAutospacing="0"/>
      </w:pPr>
      <w:r>
        <w:rPr>
          <w:sz w:val="22"/>
          <w:szCs w:val="22"/>
        </w:rPr>
        <w:t xml:space="preserve">    Starostwa Powiatowego w Piasecznie</w:t>
      </w:r>
    </w:p>
    <w:p w:rsidR="00F0172C" w:rsidRDefault="00F0172C" w:rsidP="00F0172C">
      <w:pPr>
        <w:pStyle w:val="NormalnyWeb"/>
        <w:spacing w:before="0" w:after="0"/>
        <w:jc w:val="both"/>
      </w:pPr>
      <w:r>
        <w:rPr>
          <w:sz w:val="22"/>
          <w:szCs w:val="22"/>
        </w:rPr>
        <w:t xml:space="preserve">3. Strona Internetowa Biuletynu Informacji Publicznej </w:t>
      </w:r>
    </w:p>
    <w:p w:rsidR="00F0172C" w:rsidRDefault="00F0172C" w:rsidP="00F0172C">
      <w:pPr>
        <w:pStyle w:val="NormalnyWeb"/>
        <w:spacing w:before="0" w:after="0"/>
        <w:jc w:val="both"/>
      </w:pPr>
      <w:r>
        <w:rPr>
          <w:sz w:val="22"/>
          <w:szCs w:val="22"/>
        </w:rPr>
        <w:t xml:space="preserve">    Powiatu Piaseczyńskiego</w:t>
      </w:r>
    </w:p>
    <w:p w:rsidR="00F0172C" w:rsidRDefault="00F0172C" w:rsidP="00F0172C">
      <w:pPr>
        <w:pStyle w:val="NormalnyWeb"/>
        <w:spacing w:before="0" w:after="0"/>
        <w:jc w:val="both"/>
      </w:pPr>
      <w:r>
        <w:rPr>
          <w:sz w:val="22"/>
          <w:szCs w:val="22"/>
        </w:rPr>
        <w:t>4. aa</w:t>
      </w:r>
    </w:p>
    <w:p w:rsidR="00F0172C" w:rsidRPr="002C6B04" w:rsidRDefault="00F0172C" w:rsidP="00F0172C">
      <w:pPr>
        <w:pStyle w:val="NormalnyWeb"/>
        <w:spacing w:before="0" w:after="0"/>
        <w:jc w:val="both"/>
        <w:rPr>
          <w:sz w:val="20"/>
          <w:szCs w:val="20"/>
        </w:rPr>
      </w:pPr>
    </w:p>
    <w:p w:rsidR="00F0172C" w:rsidRDefault="00F0172C" w:rsidP="00F0172C">
      <w:pPr>
        <w:pStyle w:val="western"/>
        <w:spacing w:before="0" w:beforeAutospacing="0"/>
        <w:ind w:left="284" w:hanging="284"/>
      </w:pPr>
      <w:r>
        <w:rPr>
          <w:b/>
          <w:bCs/>
          <w:sz w:val="20"/>
          <w:szCs w:val="20"/>
          <w:u w:val="single"/>
        </w:rPr>
        <w:t>Po uprawomocnieniu:</w:t>
      </w:r>
    </w:p>
    <w:p w:rsidR="00F0172C" w:rsidRDefault="00F0172C" w:rsidP="00F0172C">
      <w:pPr>
        <w:pStyle w:val="western"/>
        <w:spacing w:before="0" w:beforeAutospacing="0"/>
        <w:ind w:left="284" w:hanging="284"/>
      </w:pPr>
      <w:r>
        <w:rPr>
          <w:sz w:val="20"/>
          <w:szCs w:val="20"/>
        </w:rPr>
        <w:t>1. Gmina Tarczyn – 2 egz.</w:t>
      </w:r>
    </w:p>
    <w:p w:rsidR="00F0172C" w:rsidRDefault="00F0172C" w:rsidP="00F0172C">
      <w:pPr>
        <w:pStyle w:val="western"/>
        <w:spacing w:before="0" w:beforeAutospacing="0"/>
        <w:ind w:left="284" w:hanging="284"/>
      </w:pP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t>z up. Starosty</w:t>
      </w:r>
    </w:p>
    <w:p w:rsidR="00F0172C" w:rsidRDefault="00F0172C" w:rsidP="00F0172C">
      <w:pPr>
        <w:pStyle w:val="western"/>
        <w:spacing w:before="0" w:beforeAutospacing="0"/>
      </w:pP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sidR="002C6B04">
        <w:rPr>
          <w:b/>
          <w:bCs/>
          <w:i/>
          <w:iCs/>
          <w:sz w:val="22"/>
          <w:szCs w:val="22"/>
        </w:rPr>
        <w:t xml:space="preserve"> </w:t>
      </w:r>
      <w:r>
        <w:rPr>
          <w:b/>
          <w:bCs/>
          <w:i/>
          <w:iCs/>
          <w:sz w:val="22"/>
          <w:szCs w:val="22"/>
        </w:rPr>
        <w:t>Zdzisław Lis</w:t>
      </w:r>
    </w:p>
    <w:p w:rsidR="00F0172C" w:rsidRDefault="00F0172C" w:rsidP="00F0172C">
      <w:pPr>
        <w:pStyle w:val="western"/>
        <w:spacing w:before="0" w:beforeAutospacing="0"/>
      </w:pP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sidR="002C6B04">
        <w:rPr>
          <w:b/>
          <w:bCs/>
          <w:sz w:val="22"/>
          <w:szCs w:val="22"/>
        </w:rPr>
        <w:t xml:space="preserve"> </w:t>
      </w:r>
      <w:r>
        <w:rPr>
          <w:b/>
          <w:bCs/>
          <w:sz w:val="22"/>
          <w:szCs w:val="22"/>
        </w:rPr>
        <w:t>Wicestarosta</w:t>
      </w:r>
    </w:p>
    <w:p w:rsidR="00F0172C" w:rsidRDefault="00F0172C" w:rsidP="00F0172C">
      <w:pPr>
        <w:pStyle w:val="western"/>
        <w:spacing w:before="0" w:beforeAutospacing="0"/>
      </w:pP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r>
      <w:r>
        <w:rPr>
          <w:b/>
          <w:bCs/>
          <w:i/>
          <w:iCs/>
          <w:sz w:val="22"/>
          <w:szCs w:val="22"/>
        </w:rPr>
        <w:tab/>
        <w:t xml:space="preserve"> </w:t>
      </w:r>
      <w:r w:rsidR="002C6B04">
        <w:rPr>
          <w:b/>
          <w:bCs/>
          <w:i/>
          <w:iCs/>
          <w:sz w:val="22"/>
          <w:szCs w:val="22"/>
        </w:rPr>
        <w:t xml:space="preserve">    </w:t>
      </w:r>
      <w:r>
        <w:rPr>
          <w:b/>
          <w:bCs/>
          <w:i/>
          <w:iCs/>
          <w:sz w:val="22"/>
          <w:szCs w:val="22"/>
        </w:rPr>
        <w:t>(podpisano elektronicznie)</w:t>
      </w:r>
    </w:p>
    <w:p w:rsidR="00F0172C" w:rsidRDefault="00F0172C" w:rsidP="00F0172C">
      <w:pPr>
        <w:pStyle w:val="western"/>
        <w:spacing w:before="0" w:beforeAutospacing="0"/>
        <w:ind w:left="284" w:hanging="284"/>
      </w:pPr>
    </w:p>
    <w:p w:rsidR="00F0172C" w:rsidRDefault="00F0172C" w:rsidP="00F0172C">
      <w:pPr>
        <w:pStyle w:val="western"/>
        <w:spacing w:before="0" w:beforeAutospacing="0"/>
        <w:ind w:left="284" w:hanging="284"/>
      </w:pPr>
    </w:p>
    <w:p w:rsidR="00F0172C" w:rsidRDefault="00F0172C" w:rsidP="00F0172C">
      <w:pPr>
        <w:pStyle w:val="western"/>
        <w:spacing w:before="0" w:beforeAutospacing="0"/>
      </w:pPr>
    </w:p>
    <w:p w:rsidR="00F0172C" w:rsidRDefault="00F0172C" w:rsidP="00F0172C">
      <w:pPr>
        <w:pStyle w:val="western"/>
        <w:spacing w:before="0" w:beforeAutospacing="0"/>
      </w:pPr>
    </w:p>
    <w:p w:rsidR="00F0172C" w:rsidRDefault="00F0172C" w:rsidP="00F0172C">
      <w:pPr>
        <w:pStyle w:val="western"/>
        <w:spacing w:before="0" w:beforeAutospacing="0"/>
      </w:pPr>
    </w:p>
    <w:p w:rsidR="00F0172C" w:rsidRDefault="00F0172C" w:rsidP="00F0172C">
      <w:pPr>
        <w:pStyle w:val="western"/>
        <w:spacing w:before="0" w:beforeAutospacing="0"/>
      </w:pPr>
    </w:p>
    <w:p w:rsidR="00F0172C" w:rsidRDefault="00F0172C" w:rsidP="00F0172C">
      <w:pPr>
        <w:pStyle w:val="western"/>
        <w:spacing w:before="0" w:beforeAutospacing="0"/>
      </w:pPr>
    </w:p>
    <w:p w:rsidR="00F0172C" w:rsidRDefault="00F0172C" w:rsidP="00F0172C">
      <w:pPr>
        <w:pStyle w:val="western"/>
        <w:spacing w:before="0" w:beforeAutospacing="0"/>
      </w:pPr>
    </w:p>
    <w:p w:rsidR="00F0172C" w:rsidRDefault="00F0172C" w:rsidP="00F0172C">
      <w:pPr>
        <w:pStyle w:val="western"/>
        <w:spacing w:before="0" w:beforeAutospacing="0"/>
      </w:pPr>
    </w:p>
    <w:p w:rsidR="00F0172C" w:rsidRDefault="00F0172C" w:rsidP="00F0172C">
      <w:pPr>
        <w:pStyle w:val="western"/>
        <w:spacing w:before="0" w:beforeAutospacing="0"/>
      </w:pPr>
    </w:p>
    <w:p w:rsidR="00F0172C" w:rsidRDefault="00F0172C" w:rsidP="00F0172C">
      <w:pPr>
        <w:pStyle w:val="western"/>
        <w:spacing w:before="0" w:beforeAutospacing="0"/>
      </w:pPr>
    </w:p>
    <w:p w:rsidR="00F0172C" w:rsidRDefault="00F0172C" w:rsidP="00F0172C">
      <w:pPr>
        <w:pStyle w:val="western"/>
        <w:spacing w:before="0" w:beforeAutospacing="0"/>
      </w:pPr>
    </w:p>
    <w:p w:rsidR="00F0172C" w:rsidRDefault="00F0172C" w:rsidP="00F0172C">
      <w:pPr>
        <w:pStyle w:val="western"/>
        <w:spacing w:before="0" w:beforeAutospacing="0"/>
      </w:pPr>
    </w:p>
    <w:p w:rsidR="002C6B04" w:rsidRDefault="002C6B04" w:rsidP="00F0172C">
      <w:pPr>
        <w:pStyle w:val="western"/>
        <w:spacing w:before="0" w:beforeAutospacing="0"/>
      </w:pPr>
    </w:p>
    <w:p w:rsidR="002C6B04" w:rsidRDefault="002C6B04" w:rsidP="00F0172C">
      <w:pPr>
        <w:pStyle w:val="western"/>
        <w:spacing w:before="0" w:beforeAutospacing="0"/>
      </w:pPr>
    </w:p>
    <w:p w:rsidR="002C6B04" w:rsidRDefault="002C6B04" w:rsidP="00F0172C">
      <w:pPr>
        <w:pStyle w:val="western"/>
        <w:spacing w:before="0" w:beforeAutospacing="0"/>
      </w:pPr>
    </w:p>
    <w:p w:rsidR="002C6B04" w:rsidRDefault="002C6B04" w:rsidP="00F0172C">
      <w:pPr>
        <w:pStyle w:val="western"/>
        <w:spacing w:before="0" w:beforeAutospacing="0"/>
      </w:pPr>
    </w:p>
    <w:p w:rsidR="002C6B04" w:rsidRDefault="002C6B04" w:rsidP="00F0172C">
      <w:pPr>
        <w:pStyle w:val="western"/>
        <w:spacing w:before="0" w:beforeAutospacing="0"/>
      </w:pPr>
    </w:p>
    <w:p w:rsidR="002C6B04" w:rsidRPr="008600D3" w:rsidRDefault="002C6B04" w:rsidP="00F0172C">
      <w:pPr>
        <w:pStyle w:val="western"/>
        <w:spacing w:before="0" w:beforeAutospacing="0"/>
        <w:rPr>
          <w:sz w:val="48"/>
          <w:szCs w:val="48"/>
        </w:rPr>
      </w:pPr>
    </w:p>
    <w:p w:rsidR="005C3FF6" w:rsidRPr="005C3FF6" w:rsidRDefault="00F0172C" w:rsidP="00F65A6D">
      <w:pPr>
        <w:pStyle w:val="western"/>
        <w:spacing w:before="0" w:beforeAutospacing="0"/>
        <w:rPr>
          <w:rFonts w:ascii="Arial Narrow" w:hAnsi="Arial Narrow"/>
          <w:b/>
          <w:sz w:val="24"/>
          <w:szCs w:val="24"/>
        </w:rPr>
      </w:pPr>
      <w:r>
        <w:rPr>
          <w:rFonts w:ascii="Calibri Light" w:hAnsi="Calibri Light" w:cs="Calibri Light"/>
          <w:b/>
          <w:bCs/>
          <w:i/>
          <w:iCs/>
          <w:sz w:val="20"/>
          <w:szCs w:val="20"/>
          <w:lang w:val="en-US"/>
        </w:rPr>
        <w:t>Wydruk stanowi dowód tego, co zostało stwierdzone w piśmie wydanym w formie dokumentu elektronicznego, zgodnie z art. 39</w:t>
      </w:r>
      <w:r>
        <w:rPr>
          <w:rFonts w:ascii="Calibri Light" w:hAnsi="Calibri Light" w:cs="Calibri Light"/>
          <w:b/>
          <w:bCs/>
          <w:i/>
          <w:iCs/>
          <w:sz w:val="20"/>
          <w:szCs w:val="20"/>
          <w:vertAlign w:val="superscript"/>
          <w:lang w:val="en-US"/>
        </w:rPr>
        <w:t>3</w:t>
      </w:r>
      <w:r>
        <w:rPr>
          <w:rFonts w:ascii="Calibri Light" w:hAnsi="Calibri Light" w:cs="Calibri Light"/>
          <w:b/>
          <w:bCs/>
          <w:i/>
          <w:iCs/>
          <w:sz w:val="20"/>
          <w:szCs w:val="20"/>
          <w:lang w:val="en-US"/>
        </w:rPr>
        <w:t xml:space="preserve"> Kpa. Został on wytworzony za pomocą systemu teleinformatycznego i podpisany</w:t>
      </w:r>
      <w:r w:rsidR="00F65A6D">
        <w:rPr>
          <w:rFonts w:ascii="Calibri Light" w:hAnsi="Calibri Light" w:cs="Calibri Light"/>
          <w:b/>
          <w:bCs/>
          <w:i/>
          <w:iCs/>
          <w:sz w:val="20"/>
          <w:szCs w:val="20"/>
          <w:lang w:val="en-US"/>
        </w:rPr>
        <w:t xml:space="preserve">                             </w:t>
      </w:r>
      <w:r>
        <w:rPr>
          <w:rFonts w:ascii="Calibri Light" w:hAnsi="Calibri Light" w:cs="Calibri Light"/>
          <w:b/>
          <w:bCs/>
          <w:i/>
          <w:iCs/>
          <w:sz w:val="20"/>
          <w:szCs w:val="20"/>
          <w:lang w:val="en-US"/>
        </w:rPr>
        <w:t xml:space="preserve"> kwalifik</w:t>
      </w:r>
      <w:r w:rsidR="00F65A6D">
        <w:rPr>
          <w:rFonts w:ascii="Calibri Light" w:hAnsi="Calibri Light" w:cs="Calibri Light"/>
          <w:b/>
          <w:bCs/>
          <w:i/>
          <w:iCs/>
          <w:sz w:val="20"/>
          <w:szCs w:val="20"/>
          <w:lang w:val="en-US"/>
        </w:rPr>
        <w:t>owanym podpisem elektronicznym.</w:t>
      </w:r>
    </w:p>
    <w:sectPr w:rsidR="005C3FF6" w:rsidRPr="005C3FF6" w:rsidSect="00F0172C">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A7C" w:rsidRDefault="00E56A7C">
      <w:r>
        <w:separator/>
      </w:r>
    </w:p>
  </w:endnote>
  <w:endnote w:type="continuationSeparator" w:id="0">
    <w:p w:rsidR="00E56A7C" w:rsidRDefault="00E56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OpenSymbol">
    <w:panose1 w:val="00000000000000000000"/>
    <w:charset w:val="00"/>
    <w:family w:val="auto"/>
    <w:notTrueType/>
    <w:pitch w:val="variable"/>
    <w:sig w:usb0="00000003" w:usb1="00000000" w:usb2="00000000" w:usb3="00000000" w:csb0="00000001" w:csb1="00000000"/>
  </w:font>
  <w:font w:name="Liberation Sans">
    <w:altName w:val="Arial"/>
    <w:panose1 w:val="00000000000000000000"/>
    <w:charset w:val="EE"/>
    <w:family w:val="swiss"/>
    <w:notTrueType/>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3" w:usb1="00000000" w:usb2="00000000" w:usb3="00000000" w:csb0="00000003" w:csb1="00000000"/>
  </w:font>
  <w:font w:name="Lohit Hindi">
    <w:altName w:val="Arial Unicode MS"/>
    <w:panose1 w:val="00000000000000000000"/>
    <w:charset w:val="EE"/>
    <w:family w:val="auto"/>
    <w:notTrueType/>
    <w:pitch w:val="variable"/>
    <w:sig w:usb0="00000005" w:usb1="00000000" w:usb2="00000000" w:usb3="00000000" w:csb0="00000002"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ˇ¦|||||||||||ˇ¦||||||||||ˇ¦||"/>
    <w:panose1 w:val="02010600030101010101"/>
    <w:charset w:val="86"/>
    <w:family w:val="auto"/>
    <w:pitch w:val="variable"/>
    <w:sig w:usb0="000000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9C" w:rsidRDefault="00BC789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318" w:rsidRDefault="00F15318">
    <w:pPr>
      <w:pStyle w:val="Stopka"/>
      <w:jc w:val="center"/>
    </w:pPr>
    <w:r>
      <w:fldChar w:fldCharType="begin"/>
    </w:r>
    <w:r>
      <w:instrText xml:space="preserve"> PAGE </w:instrText>
    </w:r>
    <w:r>
      <w:fldChar w:fldCharType="separate"/>
    </w:r>
    <w:r w:rsidR="007F2089">
      <w:rPr>
        <w:noProof/>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888" w:rsidRDefault="007C2888">
    <w:pPr>
      <w:pStyle w:val="Stopka"/>
      <w:jc w:val="right"/>
    </w:pPr>
    <w:r>
      <w:t xml:space="preserve">Strona </w:t>
    </w:r>
    <w:r>
      <w:rPr>
        <w:b/>
        <w:bCs/>
      </w:rPr>
      <w:fldChar w:fldCharType="begin"/>
    </w:r>
    <w:r>
      <w:rPr>
        <w:b/>
        <w:bCs/>
      </w:rPr>
      <w:instrText>PAGE</w:instrText>
    </w:r>
    <w:r>
      <w:rPr>
        <w:b/>
        <w:bCs/>
      </w:rPr>
      <w:fldChar w:fldCharType="separate"/>
    </w:r>
    <w:r w:rsidR="007F2089">
      <w:rPr>
        <w:b/>
        <w:bCs/>
        <w:noProof/>
      </w:rPr>
      <w:t>1</w:t>
    </w:r>
    <w:r>
      <w:rPr>
        <w:b/>
        <w:bCs/>
      </w:rPr>
      <w:fldChar w:fldCharType="end"/>
    </w:r>
    <w:r>
      <w:t xml:space="preserve"> z </w:t>
    </w:r>
    <w:r>
      <w:rPr>
        <w:b/>
        <w:bCs/>
      </w:rPr>
      <w:fldChar w:fldCharType="begin"/>
    </w:r>
    <w:r>
      <w:rPr>
        <w:b/>
        <w:bCs/>
      </w:rPr>
      <w:instrText>NUMPAGES</w:instrText>
    </w:r>
    <w:r>
      <w:rPr>
        <w:b/>
        <w:bCs/>
      </w:rPr>
      <w:fldChar w:fldCharType="separate"/>
    </w:r>
    <w:r w:rsidR="007F2089">
      <w:rPr>
        <w:b/>
        <w:bCs/>
        <w:noProof/>
      </w:rPr>
      <w:t>4</w:t>
    </w:r>
    <w:r>
      <w:rPr>
        <w:b/>
        <w:bCs/>
      </w:rPr>
      <w:fldChar w:fldCharType="end"/>
    </w:r>
  </w:p>
  <w:p w:rsidR="00F15318" w:rsidRPr="007244A2" w:rsidRDefault="00F15318" w:rsidP="007244A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A7C" w:rsidRDefault="00E56A7C">
      <w:r>
        <w:separator/>
      </w:r>
    </w:p>
  </w:footnote>
  <w:footnote w:type="continuationSeparator" w:id="0">
    <w:p w:rsidR="00E56A7C" w:rsidRDefault="00E56A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9C" w:rsidRDefault="00BC789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9C" w:rsidRDefault="00BC789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652" w:rsidRPr="002F583D" w:rsidRDefault="00A15652" w:rsidP="002F583D">
    <w:pPr>
      <w:ind w:left="-142" w:firstLine="550"/>
      <w:rPr>
        <w:rFonts w:ascii="Arial Narrow" w:hAnsi="Arial Narrow"/>
        <w:b/>
        <w:bCs/>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8456C9D"/>
    <w:multiLevelType w:val="hybridMultilevel"/>
    <w:tmpl w:val="3F78707A"/>
    <w:lvl w:ilvl="0" w:tplc="0415000F">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
    <w:nsid w:val="32DF5B3A"/>
    <w:multiLevelType w:val="hybridMultilevel"/>
    <w:tmpl w:val="74F2F538"/>
    <w:lvl w:ilvl="0" w:tplc="B49A1978">
      <w:start w:val="1"/>
      <w:numFmt w:val="upperRoman"/>
      <w:lvlText w:val="%1."/>
      <w:lvlJc w:val="left"/>
      <w:pPr>
        <w:ind w:left="1004" w:hanging="720"/>
      </w:pPr>
      <w:rPr>
        <w:rFonts w:cs="Times New Roman" w:hint="default"/>
        <w:b/>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55"/>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ED8"/>
    <w:rsid w:val="00011C35"/>
    <w:rsid w:val="000126B8"/>
    <w:rsid w:val="00026430"/>
    <w:rsid w:val="00101374"/>
    <w:rsid w:val="0027118F"/>
    <w:rsid w:val="002C01E9"/>
    <w:rsid w:val="002C6B04"/>
    <w:rsid w:val="002F583D"/>
    <w:rsid w:val="00332677"/>
    <w:rsid w:val="003361A4"/>
    <w:rsid w:val="00342CB6"/>
    <w:rsid w:val="00370ED8"/>
    <w:rsid w:val="003A55EF"/>
    <w:rsid w:val="00476B05"/>
    <w:rsid w:val="00490BB5"/>
    <w:rsid w:val="004A513A"/>
    <w:rsid w:val="0050142E"/>
    <w:rsid w:val="00525B34"/>
    <w:rsid w:val="005C3FF6"/>
    <w:rsid w:val="00681E16"/>
    <w:rsid w:val="0069377E"/>
    <w:rsid w:val="007244A2"/>
    <w:rsid w:val="007C2888"/>
    <w:rsid w:val="007F2089"/>
    <w:rsid w:val="00814987"/>
    <w:rsid w:val="008543EF"/>
    <w:rsid w:val="008600D3"/>
    <w:rsid w:val="008B4356"/>
    <w:rsid w:val="008B6C69"/>
    <w:rsid w:val="008F7FF0"/>
    <w:rsid w:val="009878DF"/>
    <w:rsid w:val="009C3271"/>
    <w:rsid w:val="00A15652"/>
    <w:rsid w:val="00AC552D"/>
    <w:rsid w:val="00AD29A8"/>
    <w:rsid w:val="00B07CDC"/>
    <w:rsid w:val="00BC789C"/>
    <w:rsid w:val="00C44EC0"/>
    <w:rsid w:val="00CD51A2"/>
    <w:rsid w:val="00D3628D"/>
    <w:rsid w:val="00DC61A1"/>
    <w:rsid w:val="00E56A7C"/>
    <w:rsid w:val="00ED3D9F"/>
    <w:rsid w:val="00ED6E21"/>
    <w:rsid w:val="00F0172C"/>
    <w:rsid w:val="00F15318"/>
    <w:rsid w:val="00F65A6D"/>
    <w:rsid w:val="00F70F29"/>
    <w:rsid w:val="00F87485"/>
    <w:rsid w:val="00FE5E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val="x-none"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val="x-none"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val="x-none"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val="x-none"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em w:val="no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val="x-none"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val="x-none"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val="x-none"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val="x-none"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val="x-none"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val="x-none"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val="x-none"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val="x-none"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val="x-none"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 w:type="paragraph" w:customStyle="1" w:styleId="western">
    <w:name w:val="western"/>
    <w:basedOn w:val="Normalny"/>
    <w:rsid w:val="00F0172C"/>
    <w:pPr>
      <w:suppressAutoHyphens w:val="0"/>
      <w:spacing w:before="100" w:beforeAutospacing="1"/>
      <w:jc w:val="both"/>
    </w:pPr>
    <w:rPr>
      <w:color w:val="000000"/>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val="x-none"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val="x-none"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val="x-none"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val="x-none"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em w:val="no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val="x-none"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val="x-none"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val="x-none"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val="x-none"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val="x-none"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val="x-none"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val="x-none"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val="x-none"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val="x-none"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 w:type="paragraph" w:customStyle="1" w:styleId="western">
    <w:name w:val="western"/>
    <w:basedOn w:val="Normalny"/>
    <w:rsid w:val="00F0172C"/>
    <w:pPr>
      <w:suppressAutoHyphens w:val="0"/>
      <w:spacing w:before="100" w:beforeAutospacing="1"/>
      <w:jc w:val="both"/>
    </w:pPr>
    <w:rPr>
      <w:color w:val="000000"/>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5204715">
      <w:marLeft w:val="0"/>
      <w:marRight w:val="0"/>
      <w:marTop w:val="0"/>
      <w:marBottom w:val="0"/>
      <w:divBdr>
        <w:top w:val="none" w:sz="0" w:space="0" w:color="auto"/>
        <w:left w:val="none" w:sz="0" w:space="0" w:color="auto"/>
        <w:bottom w:val="none" w:sz="0" w:space="0" w:color="auto"/>
        <w:right w:val="none" w:sz="0" w:space="0" w:color="auto"/>
      </w:divBdr>
    </w:div>
    <w:div w:id="17352047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ip.legalis.pl/document-view.seam?documentId=mfrxilrshaydomzqgmyte"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0AD37-DEBB-4008-BE53-C5C94076C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4052</Words>
  <Characters>24315</Characters>
  <Application>Microsoft Office Word</Application>
  <DocSecurity>0</DocSecurity>
  <Lines>202</Lines>
  <Paragraphs>56</Paragraphs>
  <ScaleCrop>false</ScaleCrop>
  <HeadingPairs>
    <vt:vector size="2" baseType="variant">
      <vt:variant>
        <vt:lpstr>Tytuł</vt:lpstr>
      </vt:variant>
      <vt:variant>
        <vt:i4>1</vt:i4>
      </vt:variant>
    </vt:vector>
  </HeadingPairs>
  <TitlesOfParts>
    <vt:vector size="1" baseType="lpstr">
      <vt:lpstr>Piaseczno, dnia 12</vt:lpstr>
    </vt:vector>
  </TitlesOfParts>
  <Company/>
  <LinksUpToDate>false</LinksUpToDate>
  <CharactersWithSpaces>28311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Piaseczno, dnia 12</dc:title>
  <dc:creator>***</dc:creator>
  <cp:lastModifiedBy>Marcin Ciechomski</cp:lastModifiedBy>
  <cp:revision>2</cp:revision>
  <cp:lastPrinted>2018-10-19T13:26:00Z</cp:lastPrinted>
  <dcterms:created xsi:type="dcterms:W3CDTF">2021-07-23T12:44:00Z</dcterms:created>
  <dcterms:modified xsi:type="dcterms:W3CDTF">2021-07-23T12:44:00Z</dcterms:modified>
</cp:coreProperties>
</file>